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F61" w14:textId="77777777" w:rsidR="00363961" w:rsidRPr="00904164" w:rsidRDefault="00363961" w:rsidP="00363961">
      <w:pPr>
        <w:rPr>
          <w:rFonts w:ascii="Open Sans" w:hAnsi="Open Sans" w:cs="Open Sans"/>
        </w:rPr>
      </w:pPr>
      <w:r w:rsidRPr="0090416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D889" wp14:editId="7A141022">
                <wp:simplePos x="0" y="0"/>
                <wp:positionH relativeFrom="margin">
                  <wp:posOffset>-450077</wp:posOffset>
                </wp:positionH>
                <wp:positionV relativeFrom="paragraph">
                  <wp:posOffset>-197375</wp:posOffset>
                </wp:positionV>
                <wp:extent cx="6857365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49099" w14:textId="77777777" w:rsidR="00363961" w:rsidRPr="000752D9" w:rsidRDefault="00363961" w:rsidP="003639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490F52"/>
                                <w:sz w:val="80"/>
                                <w:szCs w:val="80"/>
                              </w:rPr>
                            </w:pPr>
                            <w:r w:rsidRPr="000752D9">
                              <w:rPr>
                                <w:rFonts w:ascii="Open Sans" w:hAnsi="Open Sans" w:cs="Open Sans"/>
                                <w:b/>
                                <w:bCs/>
                                <w:color w:val="490F52"/>
                                <w:sz w:val="80"/>
                                <w:szCs w:val="80"/>
                              </w:rPr>
                              <w:t>PRISM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D8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45pt;margin-top:-15.55pt;width:539.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" filled="f" stroked="f" strokeweight=".5pt">
                <v:textbox>
                  <w:txbxContent>
                    <w:p w14:paraId="0BA49099" w14:textId="77777777" w:rsidR="00363961" w:rsidRPr="000752D9" w:rsidRDefault="00363961" w:rsidP="003639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490F52"/>
                          <w:sz w:val="80"/>
                          <w:szCs w:val="80"/>
                        </w:rPr>
                      </w:pPr>
                      <w:r w:rsidRPr="000752D9">
                        <w:rPr>
                          <w:rFonts w:ascii="Open Sans" w:hAnsi="Open Sans" w:cs="Open Sans"/>
                          <w:b/>
                          <w:bCs/>
                          <w:color w:val="490F52"/>
                          <w:sz w:val="80"/>
                          <w:szCs w:val="80"/>
                        </w:rPr>
                        <w:t>PRISM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EB22" w14:textId="77777777" w:rsidR="00363961" w:rsidRPr="00904164" w:rsidRDefault="00363961" w:rsidP="0036396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28DAD5AF" wp14:editId="493D2057">
            <wp:simplePos x="0" y="0"/>
            <wp:positionH relativeFrom="margin">
              <wp:posOffset>1877060</wp:posOffset>
            </wp:positionH>
            <wp:positionV relativeFrom="paragraph">
              <wp:posOffset>321089</wp:posOffset>
            </wp:positionV>
            <wp:extent cx="2038350" cy="1198880"/>
            <wp:effectExtent l="0" t="0" r="0" b="1270"/>
            <wp:wrapNone/>
            <wp:docPr id="15" name="Picture 15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781D2" w14:textId="77777777" w:rsidR="00363961" w:rsidRPr="00904164" w:rsidRDefault="00363961" w:rsidP="00363961">
      <w:pPr>
        <w:rPr>
          <w:rFonts w:ascii="Open Sans" w:hAnsi="Open Sans" w:cs="Open Sans"/>
        </w:rPr>
      </w:pPr>
    </w:p>
    <w:p w14:paraId="2EFC228B" w14:textId="77777777" w:rsidR="00363961" w:rsidRPr="00904164" w:rsidRDefault="00363961" w:rsidP="00363961">
      <w:pPr>
        <w:rPr>
          <w:rFonts w:ascii="Open Sans" w:hAnsi="Open Sans" w:cs="Open Sans"/>
        </w:rPr>
      </w:pPr>
    </w:p>
    <w:p w14:paraId="19C5EC64" w14:textId="77777777" w:rsidR="00363961" w:rsidRPr="00904164" w:rsidRDefault="00363961" w:rsidP="00363961">
      <w:pPr>
        <w:rPr>
          <w:rFonts w:ascii="Open Sans" w:hAnsi="Open Sans" w:cs="Open Sans"/>
        </w:rPr>
      </w:pPr>
    </w:p>
    <w:p w14:paraId="590A6D27" w14:textId="0BA3D957" w:rsidR="00363961" w:rsidRPr="00904164" w:rsidRDefault="008F2A8B" w:rsidP="0036396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76940" wp14:editId="13FB836E">
                <wp:simplePos x="0" y="0"/>
                <wp:positionH relativeFrom="column">
                  <wp:posOffset>-652007</wp:posOffset>
                </wp:positionH>
                <wp:positionV relativeFrom="paragraph">
                  <wp:posOffset>2156322</wp:posOffset>
                </wp:positionV>
                <wp:extent cx="7211695" cy="0"/>
                <wp:effectExtent l="0" t="38100" r="4635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169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7B793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169.8pt" to="516.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" strokecolor="#ffc112 [3205]" strokeweight="6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0B6A6" wp14:editId="53FC94C8">
                <wp:simplePos x="0" y="0"/>
                <wp:positionH relativeFrom="column">
                  <wp:posOffset>-656811</wp:posOffset>
                </wp:positionH>
                <wp:positionV relativeFrom="paragraph">
                  <wp:posOffset>462639</wp:posOffset>
                </wp:positionV>
                <wp:extent cx="7216499" cy="0"/>
                <wp:effectExtent l="0" t="38100" r="4191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6499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52EDE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36.45pt" to="51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" strokecolor="#ffc112 [3205]" strokeweight="6pt">
                <v:stroke joinstyle="miter"/>
              </v:line>
            </w:pict>
          </mc:Fallback>
        </mc:AlternateContent>
      </w:r>
      <w:r w:rsidR="008348D2" w:rsidRPr="00556065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3B3E4" wp14:editId="17265987">
                <wp:simplePos x="0" y="0"/>
                <wp:positionH relativeFrom="column">
                  <wp:posOffset>-652145</wp:posOffset>
                </wp:positionH>
                <wp:positionV relativeFrom="paragraph">
                  <wp:posOffset>464185</wp:posOffset>
                </wp:positionV>
                <wp:extent cx="7211695" cy="169291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CCBC" w14:textId="529CAEDA" w:rsidR="00363961" w:rsidRPr="00565DC7" w:rsidRDefault="008348D2" w:rsidP="003C799E">
                            <w:pPr>
                              <w:spacing w:before="20"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1AA1B7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AA1B7" w:themeColor="accent1"/>
                                <w:sz w:val="72"/>
                                <w:szCs w:val="72"/>
                              </w:rPr>
                              <w:t>Accessing Coverage and Reimbursement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B3E4" id="Text Box 2" o:spid="_x0000_s1027" type="#_x0000_t202" style="position:absolute;margin-left:-51.35pt;margin-top:36.55pt;width:567.85pt;height:1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" fillcolor="#fff2cf [661]" stroked="f" strokeweight="2.25pt">
                <v:textbox>
                  <w:txbxContent>
                    <w:p w14:paraId="5226CCBC" w14:textId="529CAEDA" w:rsidR="00363961" w:rsidRPr="00565DC7" w:rsidRDefault="008348D2" w:rsidP="003C799E">
                      <w:pPr>
                        <w:spacing w:before="20"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1AA1B7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AA1B7" w:themeColor="accent1"/>
                          <w:sz w:val="72"/>
                          <w:szCs w:val="72"/>
                        </w:rPr>
                        <w:t>Accessing Coverage and Reimbursement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A4D2F" w14:textId="49DBADB5" w:rsidR="00363961" w:rsidRDefault="00363961" w:rsidP="00363961">
      <w:pPr>
        <w:jc w:val="center"/>
        <w:rPr>
          <w:rFonts w:ascii="Open Sans" w:hAnsi="Open Sans" w:cs="Open Sans"/>
        </w:rPr>
      </w:pPr>
    </w:p>
    <w:p w14:paraId="263FB9A6" w14:textId="28DF78AF" w:rsidR="000B4EDD" w:rsidRDefault="000B4EDD" w:rsidP="000B4EDD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5291347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F2881B0" w14:textId="46E07FC3" w:rsidR="00A87FE2" w:rsidRDefault="00A87FE2" w:rsidP="0002449C">
          <w:pPr>
            <w:pStyle w:val="TOCHeading"/>
          </w:pPr>
          <w:r>
            <w:t>Table of Contents</w:t>
          </w:r>
        </w:p>
        <w:p w14:paraId="0633A353" w14:textId="4FAB4E2A" w:rsidR="00AA3F85" w:rsidRDefault="00A87FE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764935" w:history="1">
            <w:r w:rsidR="00AA3F85" w:rsidRPr="004902DB">
              <w:rPr>
                <w:rStyle w:val="Hyperlink"/>
                <w:noProof/>
              </w:rPr>
              <w:t>Accessing the Coverage and Reimbursement Fee Schedule</w:t>
            </w:r>
            <w:r w:rsidR="00AA3F85">
              <w:rPr>
                <w:noProof/>
                <w:webHidden/>
              </w:rPr>
              <w:tab/>
            </w:r>
            <w:r w:rsidR="00AA3F85">
              <w:rPr>
                <w:noProof/>
                <w:webHidden/>
              </w:rPr>
              <w:fldChar w:fldCharType="begin"/>
            </w:r>
            <w:r w:rsidR="00AA3F85">
              <w:rPr>
                <w:noProof/>
                <w:webHidden/>
              </w:rPr>
              <w:instrText xml:space="preserve"> PAGEREF _Toc131764935 \h </w:instrText>
            </w:r>
            <w:r w:rsidR="00AA3F85">
              <w:rPr>
                <w:noProof/>
                <w:webHidden/>
              </w:rPr>
            </w:r>
            <w:r w:rsidR="00AA3F85">
              <w:rPr>
                <w:noProof/>
                <w:webHidden/>
              </w:rPr>
              <w:fldChar w:fldCharType="separate"/>
            </w:r>
            <w:r w:rsidR="00AA3F85">
              <w:rPr>
                <w:noProof/>
                <w:webHidden/>
              </w:rPr>
              <w:t>2</w:t>
            </w:r>
            <w:r w:rsidR="00AA3F85">
              <w:rPr>
                <w:noProof/>
                <w:webHidden/>
              </w:rPr>
              <w:fldChar w:fldCharType="end"/>
            </w:r>
          </w:hyperlink>
        </w:p>
        <w:p w14:paraId="060D5204" w14:textId="060BA17B" w:rsidR="00AA3F85" w:rsidRDefault="002F5A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1764936" w:history="1">
            <w:r w:rsidR="00AA3F85" w:rsidRPr="004902DB">
              <w:rPr>
                <w:rStyle w:val="Hyperlink"/>
                <w:noProof/>
              </w:rPr>
              <w:t>How to use a downloaded fee schedule</w:t>
            </w:r>
            <w:r w:rsidR="00AA3F85">
              <w:rPr>
                <w:noProof/>
                <w:webHidden/>
              </w:rPr>
              <w:tab/>
            </w:r>
            <w:r w:rsidR="00AA3F85">
              <w:rPr>
                <w:noProof/>
                <w:webHidden/>
              </w:rPr>
              <w:fldChar w:fldCharType="begin"/>
            </w:r>
            <w:r w:rsidR="00AA3F85">
              <w:rPr>
                <w:noProof/>
                <w:webHidden/>
              </w:rPr>
              <w:instrText xml:space="preserve"> PAGEREF _Toc131764936 \h </w:instrText>
            </w:r>
            <w:r w:rsidR="00AA3F85">
              <w:rPr>
                <w:noProof/>
                <w:webHidden/>
              </w:rPr>
            </w:r>
            <w:r w:rsidR="00AA3F85">
              <w:rPr>
                <w:noProof/>
                <w:webHidden/>
              </w:rPr>
              <w:fldChar w:fldCharType="separate"/>
            </w:r>
            <w:r w:rsidR="00AA3F85">
              <w:rPr>
                <w:noProof/>
                <w:webHidden/>
              </w:rPr>
              <w:t>3</w:t>
            </w:r>
            <w:r w:rsidR="00AA3F85">
              <w:rPr>
                <w:noProof/>
                <w:webHidden/>
              </w:rPr>
              <w:fldChar w:fldCharType="end"/>
            </w:r>
          </w:hyperlink>
        </w:p>
        <w:p w14:paraId="48101308" w14:textId="435FDD2F" w:rsidR="00AA3F85" w:rsidRDefault="002F5A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1764937" w:history="1">
            <w:r w:rsidR="00AA3F85" w:rsidRPr="004902DB">
              <w:rPr>
                <w:rStyle w:val="Hyperlink"/>
                <w:noProof/>
              </w:rPr>
              <w:t>Text Filters and Functions</w:t>
            </w:r>
            <w:r w:rsidR="00AA3F85">
              <w:rPr>
                <w:noProof/>
                <w:webHidden/>
              </w:rPr>
              <w:tab/>
            </w:r>
            <w:r w:rsidR="00AA3F85">
              <w:rPr>
                <w:noProof/>
                <w:webHidden/>
              </w:rPr>
              <w:fldChar w:fldCharType="begin"/>
            </w:r>
            <w:r w:rsidR="00AA3F85">
              <w:rPr>
                <w:noProof/>
                <w:webHidden/>
              </w:rPr>
              <w:instrText xml:space="preserve"> PAGEREF _Toc131764937 \h </w:instrText>
            </w:r>
            <w:r w:rsidR="00AA3F85">
              <w:rPr>
                <w:noProof/>
                <w:webHidden/>
              </w:rPr>
            </w:r>
            <w:r w:rsidR="00AA3F85">
              <w:rPr>
                <w:noProof/>
                <w:webHidden/>
              </w:rPr>
              <w:fldChar w:fldCharType="separate"/>
            </w:r>
            <w:r w:rsidR="00AA3F85">
              <w:rPr>
                <w:noProof/>
                <w:webHidden/>
              </w:rPr>
              <w:t>4</w:t>
            </w:r>
            <w:r w:rsidR="00AA3F85">
              <w:rPr>
                <w:noProof/>
                <w:webHidden/>
              </w:rPr>
              <w:fldChar w:fldCharType="end"/>
            </w:r>
          </w:hyperlink>
        </w:p>
        <w:p w14:paraId="2BB700DC" w14:textId="21398F61" w:rsidR="00AA3F85" w:rsidRDefault="002F5A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1764938" w:history="1">
            <w:r w:rsidR="00AA3F85" w:rsidRPr="004902DB">
              <w:rPr>
                <w:rStyle w:val="Hyperlink"/>
                <w:noProof/>
              </w:rPr>
              <w:t>Column Descriptions and Field Values for Each Column of the Fee Schedule</w:t>
            </w:r>
            <w:r w:rsidR="00AA3F85">
              <w:rPr>
                <w:noProof/>
                <w:webHidden/>
              </w:rPr>
              <w:tab/>
            </w:r>
            <w:r w:rsidR="00AA3F85">
              <w:rPr>
                <w:noProof/>
                <w:webHidden/>
              </w:rPr>
              <w:fldChar w:fldCharType="begin"/>
            </w:r>
            <w:r w:rsidR="00AA3F85">
              <w:rPr>
                <w:noProof/>
                <w:webHidden/>
              </w:rPr>
              <w:instrText xml:space="preserve"> PAGEREF _Toc131764938 \h </w:instrText>
            </w:r>
            <w:r w:rsidR="00AA3F85">
              <w:rPr>
                <w:noProof/>
                <w:webHidden/>
              </w:rPr>
            </w:r>
            <w:r w:rsidR="00AA3F85">
              <w:rPr>
                <w:noProof/>
                <w:webHidden/>
              </w:rPr>
              <w:fldChar w:fldCharType="separate"/>
            </w:r>
            <w:r w:rsidR="00AA3F85">
              <w:rPr>
                <w:noProof/>
                <w:webHidden/>
              </w:rPr>
              <w:t>6</w:t>
            </w:r>
            <w:r w:rsidR="00AA3F85">
              <w:rPr>
                <w:noProof/>
                <w:webHidden/>
              </w:rPr>
              <w:fldChar w:fldCharType="end"/>
            </w:r>
          </w:hyperlink>
        </w:p>
        <w:p w14:paraId="2003F2AA" w14:textId="26A8C16E" w:rsidR="00A87FE2" w:rsidRDefault="00A87FE2">
          <w:r>
            <w:rPr>
              <w:b/>
              <w:bCs/>
              <w:noProof/>
            </w:rPr>
            <w:fldChar w:fldCharType="end"/>
          </w:r>
        </w:p>
      </w:sdtContent>
    </w:sdt>
    <w:p w14:paraId="7ED9942C" w14:textId="77777777" w:rsidR="00A87FE2" w:rsidRDefault="00A87FE2" w:rsidP="008348D2">
      <w:pPr>
        <w:ind w:left="-720" w:right="-990"/>
        <w:rPr>
          <w:rFonts w:ascii="Open Sans" w:hAnsi="Open Sans" w:cs="Open Sans"/>
          <w:noProof/>
          <w:sz w:val="24"/>
          <w:szCs w:val="24"/>
        </w:rPr>
      </w:pPr>
    </w:p>
    <w:p w14:paraId="1F38456A" w14:textId="77777777" w:rsidR="00A87FE2" w:rsidRDefault="00A87FE2" w:rsidP="008348D2">
      <w:pPr>
        <w:ind w:left="-720" w:right="-990"/>
        <w:rPr>
          <w:rFonts w:ascii="Open Sans" w:hAnsi="Open Sans" w:cs="Open Sans"/>
          <w:noProof/>
          <w:sz w:val="24"/>
          <w:szCs w:val="24"/>
        </w:rPr>
      </w:pPr>
    </w:p>
    <w:p w14:paraId="3EDA004D" w14:textId="77777777" w:rsidR="00A87FE2" w:rsidRDefault="00A87FE2" w:rsidP="008348D2">
      <w:pPr>
        <w:ind w:left="-720" w:right="-990"/>
        <w:rPr>
          <w:rFonts w:ascii="Open Sans" w:hAnsi="Open Sans" w:cs="Open Sans"/>
          <w:noProof/>
          <w:sz w:val="24"/>
          <w:szCs w:val="24"/>
        </w:rPr>
      </w:pPr>
    </w:p>
    <w:p w14:paraId="5CCCF544" w14:textId="77777777" w:rsidR="00A87FE2" w:rsidRDefault="00A87FE2" w:rsidP="008F2A8B">
      <w:pPr>
        <w:ind w:left="-720" w:right="-630"/>
        <w:rPr>
          <w:rFonts w:ascii="Open Sans" w:hAnsi="Open Sans" w:cs="Open Sans"/>
          <w:noProof/>
          <w:sz w:val="24"/>
          <w:szCs w:val="24"/>
        </w:rPr>
      </w:pPr>
    </w:p>
    <w:p w14:paraId="093B0805" w14:textId="4C4A6336" w:rsidR="008348D2" w:rsidRDefault="008348D2" w:rsidP="008F2A8B">
      <w:pPr>
        <w:ind w:left="-720" w:right="-630"/>
        <w:rPr>
          <w:rFonts w:ascii="Open Sans" w:hAnsi="Open Sans" w:cs="Open Sans"/>
          <w:noProof/>
          <w:sz w:val="24"/>
          <w:szCs w:val="24"/>
        </w:rPr>
      </w:pPr>
      <w:r w:rsidRPr="008348D2">
        <w:rPr>
          <w:rFonts w:ascii="Open Sans" w:hAnsi="Open Sans" w:cs="Open Sans"/>
          <w:noProof/>
          <w:sz w:val="24"/>
          <w:szCs w:val="24"/>
        </w:rPr>
        <w:lastRenderedPageBreak/>
        <w:t xml:space="preserve">The information provided by the Coverage and Reimbursement Lookup Tool is intended to provide coverage and reimbursement information for selected procedure codes. </w:t>
      </w:r>
    </w:p>
    <w:p w14:paraId="38AF6B54" w14:textId="77777777" w:rsidR="008348D2" w:rsidRPr="008348D2" w:rsidRDefault="008348D2" w:rsidP="0002449C">
      <w:pPr>
        <w:pStyle w:val="Heading1"/>
        <w:rPr>
          <w:noProof/>
        </w:rPr>
      </w:pPr>
      <w:bookmarkStart w:id="0" w:name="_Toc131764935"/>
      <w:r w:rsidRPr="008348D2">
        <w:rPr>
          <w:noProof/>
        </w:rPr>
        <w:t>Accessing the Coverage and Reimbursement Fee Schedule</w:t>
      </w:r>
      <w:bookmarkEnd w:id="0"/>
    </w:p>
    <w:p w14:paraId="3DDCFF98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</w:pPr>
    </w:p>
    <w:p w14:paraId="3CB5423E" w14:textId="67DA5432" w:rsidR="008348D2" w:rsidRPr="008348D2" w:rsidRDefault="001040D8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  <w:r w:rsidRPr="001040D8"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  <w:t>Step 1:</w:t>
      </w:r>
      <w:r w:rsidRPr="001040D8">
        <w:rPr>
          <w:rFonts w:ascii="Open Sans" w:hAnsi="Open Sans" w:cs="Open Sans"/>
          <w:color w:val="490F52" w:themeColor="accent4"/>
          <w:sz w:val="24"/>
          <w:szCs w:val="24"/>
        </w:rPr>
        <w:t xml:space="preserve">  </w:t>
      </w:r>
      <w:r w:rsidR="008348D2" w:rsidRPr="008348D2">
        <w:rPr>
          <w:rFonts w:ascii="Open Sans" w:hAnsi="Open Sans" w:cs="Open Sans"/>
          <w:sz w:val="24"/>
          <w:szCs w:val="24"/>
        </w:rPr>
        <w:t xml:space="preserve">The Coverage and Reimbursement homepage can be found through the following link: </w:t>
      </w:r>
      <w:hyperlink r:id="rId13" w:history="1">
        <w:r w:rsidR="008348D2" w:rsidRPr="008F34CB">
          <w:rPr>
            <w:rStyle w:val="Hyperlink"/>
            <w:rFonts w:ascii="Open Sans" w:hAnsi="Open Sans" w:cs="Open Sans"/>
            <w:b/>
            <w:bCs/>
            <w:i/>
            <w:iCs/>
            <w:sz w:val="24"/>
            <w:szCs w:val="24"/>
          </w:rPr>
          <w:t>https://health.utah.gov/stplan/lookup/CoverageLookup.php</w:t>
        </w:r>
      </w:hyperlink>
      <w:r w:rsidR="008348D2" w:rsidRPr="008F34CB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 </w:t>
      </w:r>
    </w:p>
    <w:p w14:paraId="1B4253E9" w14:textId="77777777" w:rsidR="001040D8" w:rsidRDefault="001040D8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5BC3DE8C" w14:textId="77777777" w:rsidR="001040D8" w:rsidRDefault="008348D2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t xml:space="preserve">On the </w:t>
      </w:r>
      <w:r w:rsidRPr="008F34CB">
        <w:rPr>
          <w:rFonts w:ascii="Open Sans" w:hAnsi="Open Sans" w:cs="Open Sans"/>
          <w:b/>
          <w:bCs/>
          <w:sz w:val="24"/>
          <w:szCs w:val="24"/>
        </w:rPr>
        <w:t>Coverage and Reimbursement Fee Schedule Download page</w:t>
      </w:r>
      <w:r w:rsidRPr="008348D2">
        <w:rPr>
          <w:rFonts w:ascii="Open Sans" w:hAnsi="Open Sans" w:cs="Open Sans"/>
          <w:sz w:val="24"/>
          <w:szCs w:val="24"/>
        </w:rPr>
        <w:t xml:space="preserve">, providers have the option of downloading fee schedules by the member’s Benefit Plan or provider PAC. </w:t>
      </w:r>
    </w:p>
    <w:p w14:paraId="491F8E17" w14:textId="77777777" w:rsidR="001040D8" w:rsidRDefault="001040D8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10BB1E5E" w14:textId="6246469B" w:rsidR="008348D2" w:rsidRDefault="001040D8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  <w:r w:rsidRPr="007F0007"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  <w:t>Step 2:</w:t>
      </w:r>
      <w:r w:rsidRPr="007F0007">
        <w:rPr>
          <w:rFonts w:ascii="Open Sans" w:hAnsi="Open Sans" w:cs="Open Sans"/>
          <w:color w:val="490F52" w:themeColor="accent4"/>
          <w:sz w:val="24"/>
          <w:szCs w:val="24"/>
        </w:rPr>
        <w:t xml:space="preserve">  </w:t>
      </w:r>
      <w:r>
        <w:rPr>
          <w:rFonts w:ascii="Open Sans" w:hAnsi="Open Sans" w:cs="Open Sans"/>
          <w:sz w:val="24"/>
          <w:szCs w:val="24"/>
        </w:rPr>
        <w:t>S</w:t>
      </w:r>
      <w:r w:rsidR="008348D2" w:rsidRPr="008348D2">
        <w:rPr>
          <w:rFonts w:ascii="Open Sans" w:hAnsi="Open Sans" w:cs="Open Sans"/>
          <w:sz w:val="24"/>
          <w:szCs w:val="24"/>
        </w:rPr>
        <w:t xml:space="preserve">elect the member’s </w:t>
      </w:r>
      <w:r w:rsidR="008348D2" w:rsidRPr="008F34CB">
        <w:rPr>
          <w:rFonts w:ascii="Open Sans" w:hAnsi="Open Sans" w:cs="Open Sans"/>
          <w:b/>
          <w:bCs/>
          <w:i/>
          <w:iCs/>
          <w:color w:val="0A0C4A" w:themeColor="text2"/>
          <w:sz w:val="24"/>
          <w:szCs w:val="24"/>
        </w:rPr>
        <w:t>Plan Type and/or Provider Type</w:t>
      </w:r>
      <w:r w:rsidR="008348D2" w:rsidRPr="008F34CB">
        <w:rPr>
          <w:rFonts w:ascii="Open Sans" w:hAnsi="Open Sans" w:cs="Open Sans"/>
          <w:color w:val="0A0C4A" w:themeColor="text2"/>
          <w:sz w:val="24"/>
          <w:szCs w:val="24"/>
        </w:rPr>
        <w:t xml:space="preserve"> </w:t>
      </w:r>
      <w:r w:rsidR="008348D2" w:rsidRPr="008348D2">
        <w:rPr>
          <w:rFonts w:ascii="Open Sans" w:hAnsi="Open Sans" w:cs="Open Sans"/>
          <w:sz w:val="24"/>
          <w:szCs w:val="24"/>
        </w:rPr>
        <w:t xml:space="preserve">in the dropdown menus, along with the </w:t>
      </w:r>
      <w:r w:rsidR="008348D2" w:rsidRPr="008F34CB">
        <w:rPr>
          <w:rFonts w:ascii="Open Sans" w:hAnsi="Open Sans" w:cs="Open Sans"/>
          <w:b/>
          <w:bCs/>
          <w:i/>
          <w:iCs/>
          <w:color w:val="0A0C4A" w:themeColor="text2"/>
          <w:sz w:val="24"/>
          <w:szCs w:val="24"/>
        </w:rPr>
        <w:t>Date of Service</w:t>
      </w:r>
      <w:r w:rsidR="008348D2" w:rsidRPr="008F34CB">
        <w:rPr>
          <w:rFonts w:ascii="Open Sans" w:hAnsi="Open Sans" w:cs="Open Sans"/>
          <w:color w:val="0A0C4A" w:themeColor="text2"/>
          <w:sz w:val="24"/>
          <w:szCs w:val="24"/>
        </w:rPr>
        <w:t xml:space="preserve"> </w:t>
      </w:r>
      <w:r w:rsidR="008348D2" w:rsidRPr="008348D2">
        <w:rPr>
          <w:rFonts w:ascii="Open Sans" w:hAnsi="Open Sans" w:cs="Open Sans"/>
          <w:sz w:val="24"/>
          <w:szCs w:val="24"/>
        </w:rPr>
        <w:t xml:space="preserve">to generate a customized fee schedule. </w:t>
      </w:r>
    </w:p>
    <w:p w14:paraId="705F24E0" w14:textId="77777777" w:rsidR="003A1FED" w:rsidRDefault="003A1FED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7588A774" w14:textId="6D59F3B4" w:rsidR="008348D2" w:rsidRPr="008348D2" w:rsidRDefault="003A1FED" w:rsidP="008F2A8B">
      <w:pPr>
        <w:ind w:left="-720" w:right="-630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2EE72086" wp14:editId="6012E28A">
            <wp:extent cx="6692680" cy="3774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0348" cy="378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D0CE5" w14:textId="16CA1FF0" w:rsidR="008348D2" w:rsidRDefault="008348D2" w:rsidP="008F2A8B">
      <w:pPr>
        <w:ind w:left="-720" w:right="-630"/>
        <w:jc w:val="both"/>
        <w:rPr>
          <w:rFonts w:ascii="Open Sans" w:hAnsi="Open Sans" w:cs="Open Sans"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lastRenderedPageBreak/>
        <w:t>Alternatively, providers may download a comma separated (csv) file containing a list of Procedure codes, Provider Types, and Charge Factors for ALL provider-specific pricing, using the</w:t>
      </w:r>
      <w:r w:rsidRPr="008348D2">
        <w:rPr>
          <w:rFonts w:ascii="Open Sans" w:hAnsi="Open Sans" w:cs="Open Sans"/>
          <w:b/>
          <w:sz w:val="24"/>
          <w:szCs w:val="24"/>
        </w:rPr>
        <w:t xml:space="preserve"> Provider Pricing File ONLY </w:t>
      </w:r>
      <w:r w:rsidRPr="008348D2">
        <w:rPr>
          <w:rFonts w:ascii="Open Sans" w:hAnsi="Open Sans" w:cs="Open Sans"/>
          <w:sz w:val="24"/>
          <w:szCs w:val="24"/>
        </w:rPr>
        <w:t xml:space="preserve">tool. </w:t>
      </w:r>
    </w:p>
    <w:p w14:paraId="188359FF" w14:textId="3CA2458B" w:rsidR="00A559D0" w:rsidRDefault="008348D2" w:rsidP="00A559D0">
      <w:pPr>
        <w:pStyle w:val="pf0"/>
        <w:ind w:left="-720"/>
        <w:jc w:val="both"/>
        <w:rPr>
          <w:rStyle w:val="cf01"/>
          <w:rFonts w:ascii="Open Sans" w:eastAsiaTheme="majorEastAsia" w:hAnsi="Open Sans" w:cs="Open Sans"/>
          <w:sz w:val="24"/>
          <w:szCs w:val="24"/>
        </w:rPr>
      </w:pPr>
      <w:r w:rsidRPr="00A559D0">
        <w:rPr>
          <w:rFonts w:ascii="Open Sans" w:hAnsi="Open Sans" w:cs="Open Sans"/>
        </w:rPr>
        <w:t xml:space="preserve">A HCPCS/NDC Crosswalk can be accessed using the </w:t>
      </w:r>
      <w:r w:rsidRPr="00A559D0">
        <w:rPr>
          <w:rFonts w:ascii="Open Sans" w:hAnsi="Open Sans" w:cs="Open Sans"/>
          <w:b/>
        </w:rPr>
        <w:t>HCPCS/NDC Crosswalk</w:t>
      </w:r>
      <w:r w:rsidRPr="00A559D0">
        <w:rPr>
          <w:rFonts w:ascii="Open Sans" w:hAnsi="Open Sans" w:cs="Open Sans"/>
        </w:rPr>
        <w:t xml:space="preserve"> tool. </w:t>
      </w:r>
      <w:r w:rsidR="00A559D0" w:rsidRPr="00A559D0">
        <w:rPr>
          <w:rFonts w:ascii="Open Sans" w:hAnsi="Open Sans" w:cs="Open Sans"/>
        </w:rPr>
        <w:t xml:space="preserve"> </w:t>
      </w:r>
      <w:r w:rsidR="00A559D0" w:rsidRPr="00A559D0">
        <w:rPr>
          <w:rStyle w:val="cf01"/>
          <w:rFonts w:ascii="Open Sans" w:eastAsiaTheme="majorEastAsia" w:hAnsi="Open Sans" w:cs="Open Sans"/>
          <w:sz w:val="24"/>
          <w:szCs w:val="24"/>
        </w:rPr>
        <w:t>Revenue code coverage information can be generated by using the</w:t>
      </w:r>
      <w:r w:rsidR="00A559D0" w:rsidRPr="00A559D0">
        <w:rPr>
          <w:rStyle w:val="cf11"/>
          <w:rFonts w:ascii="Open Sans" w:eastAsiaTheme="majorEastAsia" w:hAnsi="Open Sans" w:cs="Open Sans"/>
          <w:sz w:val="24"/>
          <w:szCs w:val="24"/>
        </w:rPr>
        <w:t xml:space="preserve"> Revenue Code Download</w:t>
      </w:r>
      <w:r w:rsidR="00A559D0" w:rsidRPr="00A559D0">
        <w:rPr>
          <w:rStyle w:val="cf01"/>
          <w:rFonts w:ascii="Open Sans" w:eastAsiaTheme="majorEastAsia" w:hAnsi="Open Sans" w:cs="Open Sans"/>
          <w:sz w:val="24"/>
          <w:szCs w:val="24"/>
        </w:rPr>
        <w:t xml:space="preserve"> tool</w:t>
      </w:r>
      <w:r w:rsidR="00756074">
        <w:rPr>
          <w:rStyle w:val="cf01"/>
          <w:rFonts w:ascii="Open Sans" w:eastAsiaTheme="majorEastAsia" w:hAnsi="Open Sans" w:cs="Open Sans"/>
          <w:sz w:val="24"/>
          <w:szCs w:val="24"/>
        </w:rPr>
        <w:t>.</w:t>
      </w:r>
    </w:p>
    <w:p w14:paraId="3C347B7E" w14:textId="4F3BF6FF" w:rsidR="008348D2" w:rsidRDefault="00756074" w:rsidP="008F2A8B">
      <w:pPr>
        <w:ind w:left="-720" w:right="-630"/>
        <w:jc w:val="both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4A7F63D6" wp14:editId="0CF04F96">
            <wp:extent cx="6767477" cy="2981739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2967" cy="29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DF88" w14:textId="43041A46" w:rsidR="008348D2" w:rsidRPr="001040D8" w:rsidRDefault="008348D2" w:rsidP="0002449C">
      <w:pPr>
        <w:pStyle w:val="Heading1"/>
      </w:pPr>
      <w:bookmarkStart w:id="1" w:name="_Toc131764936"/>
      <w:r w:rsidRPr="001040D8">
        <w:t>How to use a downloaded fee schedule</w:t>
      </w:r>
      <w:bookmarkEnd w:id="1"/>
    </w:p>
    <w:p w14:paraId="11C9358F" w14:textId="73D0827D" w:rsidR="008348D2" w:rsidRPr="007F0007" w:rsidRDefault="008348D2" w:rsidP="008F2A8B">
      <w:pPr>
        <w:ind w:left="-720" w:right="-630"/>
        <w:rPr>
          <w:rFonts w:ascii="Open Sans" w:hAnsi="Open Sans" w:cs="Open Sans"/>
          <w:bCs/>
          <w:sz w:val="24"/>
          <w:szCs w:val="24"/>
        </w:rPr>
      </w:pPr>
      <w:r w:rsidRPr="007F0007">
        <w:rPr>
          <w:rFonts w:ascii="Open Sans" w:hAnsi="Open Sans" w:cs="Open Sans"/>
          <w:bCs/>
          <w:sz w:val="24"/>
          <w:szCs w:val="24"/>
        </w:rPr>
        <w:t xml:space="preserve">There are two primary ways of finding coverage and reimbursement information for procedure codes: </w:t>
      </w:r>
    </w:p>
    <w:p w14:paraId="13E3F406" w14:textId="0DB89E88" w:rsidR="008348D2" w:rsidRPr="007F0007" w:rsidRDefault="007F0007" w:rsidP="008F2A8B">
      <w:pPr>
        <w:pStyle w:val="ListParagraph"/>
        <w:ind w:left="-720" w:right="-630"/>
        <w:rPr>
          <w:rFonts w:ascii="Open Sans" w:hAnsi="Open Sans" w:cs="Open Sans"/>
          <w:bCs/>
          <w:sz w:val="24"/>
          <w:szCs w:val="24"/>
        </w:rPr>
      </w:pPr>
      <w:r w:rsidRPr="007F0007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Step 1:</w:t>
      </w:r>
      <w:r w:rsidRPr="007F0007">
        <w:rPr>
          <w:rFonts w:ascii="Open Sans" w:hAnsi="Open Sans" w:cs="Open Sans"/>
          <w:b/>
          <w:color w:val="490F52" w:themeColor="accent4"/>
          <w:sz w:val="24"/>
          <w:szCs w:val="24"/>
        </w:rPr>
        <w:t xml:space="preserve">  </w:t>
      </w:r>
      <w:r w:rsidR="008348D2" w:rsidRPr="007F0007">
        <w:rPr>
          <w:rFonts w:ascii="Open Sans" w:hAnsi="Open Sans" w:cs="Open Sans"/>
          <w:bCs/>
          <w:sz w:val="24"/>
          <w:szCs w:val="24"/>
        </w:rPr>
        <w:t>To view information for a specific procedure code</w:t>
      </w:r>
      <w:r>
        <w:rPr>
          <w:rFonts w:ascii="Open Sans" w:hAnsi="Open Sans" w:cs="Open Sans"/>
          <w:bCs/>
          <w:sz w:val="24"/>
          <w:szCs w:val="24"/>
        </w:rPr>
        <w:t>, s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earch within 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column A (“ProcCode”)</w:t>
      </w:r>
      <w:r w:rsidR="008348D2" w:rsidRPr="008F34CB">
        <w:rPr>
          <w:rFonts w:ascii="Open Sans" w:hAnsi="Open Sans" w:cs="Open Sans"/>
          <w:bCs/>
          <w:color w:val="0A0C4A" w:themeColor="text2"/>
          <w:sz w:val="24"/>
          <w:szCs w:val="24"/>
        </w:rPr>
        <w:t xml:space="preserve">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using the </w:t>
      </w:r>
      <w:r w:rsidR="008348D2" w:rsidRPr="00641E45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Ctrl+F</w:t>
      </w:r>
      <w:r w:rsidR="008348D2" w:rsidRPr="00641E45">
        <w:rPr>
          <w:rFonts w:ascii="Open Sans" w:hAnsi="Open Sans" w:cs="Open Sans"/>
          <w:bCs/>
          <w:color w:val="490F52" w:themeColor="accent4"/>
          <w:sz w:val="24"/>
          <w:szCs w:val="24"/>
        </w:rPr>
        <w:t xml:space="preserve">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function. </w:t>
      </w:r>
    </w:p>
    <w:p w14:paraId="4BA98190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b/>
          <w:i/>
          <w:sz w:val="24"/>
          <w:szCs w:val="24"/>
        </w:rPr>
      </w:pPr>
    </w:p>
    <w:p w14:paraId="2B155363" w14:textId="6EFF1A86" w:rsidR="008348D2" w:rsidRPr="007F0007" w:rsidRDefault="008348D2" w:rsidP="008F2A8B">
      <w:pPr>
        <w:pStyle w:val="ListParagraph"/>
        <w:ind w:left="-720" w:right="-630"/>
        <w:rPr>
          <w:rFonts w:ascii="Open Sans" w:hAnsi="Open Sans" w:cs="Open Sans"/>
          <w:bCs/>
          <w:i/>
          <w:sz w:val="24"/>
          <w:szCs w:val="24"/>
        </w:rPr>
      </w:pPr>
      <w:r w:rsidRPr="007F0007">
        <w:rPr>
          <w:rFonts w:ascii="Open Sans" w:hAnsi="Open Sans" w:cs="Open Sans"/>
          <w:b/>
          <w:i/>
          <w:sz w:val="24"/>
          <w:szCs w:val="24"/>
        </w:rPr>
        <w:t>Note</w:t>
      </w:r>
      <w:r w:rsidR="007F0007" w:rsidRPr="007F0007">
        <w:rPr>
          <w:rFonts w:ascii="Open Sans" w:hAnsi="Open Sans" w:cs="Open Sans"/>
          <w:b/>
          <w:i/>
          <w:sz w:val="24"/>
          <w:szCs w:val="24"/>
        </w:rPr>
        <w:t>:</w:t>
      </w:r>
      <w:r w:rsidR="007F0007">
        <w:rPr>
          <w:rFonts w:ascii="Open Sans" w:hAnsi="Open Sans" w:cs="Open Sans"/>
          <w:bCs/>
          <w:i/>
          <w:sz w:val="24"/>
          <w:szCs w:val="24"/>
        </w:rPr>
        <w:t xml:space="preserve">  </w:t>
      </w:r>
      <w:r w:rsidRPr="007F0007">
        <w:rPr>
          <w:rFonts w:ascii="Open Sans" w:hAnsi="Open Sans" w:cs="Open Sans"/>
          <w:bCs/>
          <w:i/>
          <w:sz w:val="24"/>
          <w:szCs w:val="24"/>
        </w:rPr>
        <w:t xml:space="preserve">the apostrophe (‘) before each procedure code in column A will not affect search results </w:t>
      </w:r>
    </w:p>
    <w:p w14:paraId="5D9AF015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bCs/>
          <w:sz w:val="24"/>
          <w:szCs w:val="24"/>
        </w:rPr>
      </w:pPr>
    </w:p>
    <w:p w14:paraId="33AD8AC2" w14:textId="3CECBCD2" w:rsidR="008348D2" w:rsidRPr="007F0007" w:rsidRDefault="007F0007" w:rsidP="008F2A8B">
      <w:pPr>
        <w:pStyle w:val="ListParagraph"/>
        <w:ind w:left="-720" w:right="-630"/>
        <w:rPr>
          <w:rFonts w:ascii="Open Sans" w:hAnsi="Open Sans" w:cs="Open Sans"/>
          <w:bCs/>
          <w:sz w:val="24"/>
          <w:szCs w:val="24"/>
        </w:rPr>
      </w:pPr>
      <w:r w:rsidRPr="007F0007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Step 2:</w:t>
      </w:r>
      <w:r w:rsidRPr="007F0007">
        <w:rPr>
          <w:rFonts w:ascii="Open Sans" w:hAnsi="Open Sans" w:cs="Open Sans"/>
          <w:bCs/>
          <w:color w:val="490F52" w:themeColor="accent4"/>
          <w:sz w:val="24"/>
          <w:szCs w:val="24"/>
        </w:rPr>
        <w:t xml:space="preserve">  </w:t>
      </w:r>
      <w:r w:rsidR="008348D2" w:rsidRPr="007F0007">
        <w:rPr>
          <w:rFonts w:ascii="Open Sans" w:hAnsi="Open Sans" w:cs="Open Sans"/>
          <w:bCs/>
          <w:sz w:val="24"/>
          <w:szCs w:val="24"/>
        </w:rPr>
        <w:t>To view information for one or more procedure codes, simultaneously</w:t>
      </w:r>
      <w:r w:rsidR="008F34CB">
        <w:rPr>
          <w:rFonts w:ascii="Open Sans" w:hAnsi="Open Sans" w:cs="Open Sans"/>
          <w:bCs/>
          <w:sz w:val="24"/>
          <w:szCs w:val="24"/>
        </w:rPr>
        <w:t xml:space="preserve"> a</w:t>
      </w:r>
      <w:r w:rsidR="008348D2" w:rsidRPr="007F0007">
        <w:rPr>
          <w:rFonts w:ascii="Open Sans" w:hAnsi="Open Sans" w:cs="Open Sans"/>
          <w:bCs/>
          <w:sz w:val="24"/>
          <w:szCs w:val="24"/>
        </w:rPr>
        <w:t>pply filters to the entire spreadsheet</w:t>
      </w:r>
      <w:r>
        <w:rPr>
          <w:rFonts w:ascii="Open Sans" w:hAnsi="Open Sans" w:cs="Open Sans"/>
          <w:bCs/>
          <w:sz w:val="24"/>
          <w:szCs w:val="24"/>
        </w:rPr>
        <w:t xml:space="preserve"> by </w:t>
      </w:r>
      <w:r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c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lick</w:t>
      </w:r>
      <w:r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ing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 xml:space="preserve"> on any cell</w:t>
      </w:r>
      <w:r w:rsidR="008348D2" w:rsidRPr="008F34CB">
        <w:rPr>
          <w:rFonts w:ascii="Open Sans" w:hAnsi="Open Sans" w:cs="Open Sans"/>
          <w:bCs/>
          <w:color w:val="0A0C4A" w:themeColor="text2"/>
          <w:sz w:val="24"/>
          <w:szCs w:val="24"/>
        </w:rPr>
        <w:t xml:space="preserve"> </w:t>
      </w:r>
      <w:r w:rsidR="008348D2" w:rsidRPr="007F0007">
        <w:rPr>
          <w:rFonts w:ascii="Open Sans" w:hAnsi="Open Sans" w:cs="Open Sans"/>
          <w:bCs/>
          <w:sz w:val="24"/>
          <w:szCs w:val="24"/>
        </w:rPr>
        <w:t>in the spreadsheet</w:t>
      </w:r>
    </w:p>
    <w:p w14:paraId="74ECA03C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</w:pPr>
    </w:p>
    <w:p w14:paraId="23B115BC" w14:textId="70CC3518" w:rsidR="008348D2" w:rsidRPr="007F0007" w:rsidRDefault="007F0007" w:rsidP="008F2A8B">
      <w:pPr>
        <w:pStyle w:val="ListParagraph"/>
        <w:ind w:left="-720" w:right="-630"/>
        <w:rPr>
          <w:rFonts w:ascii="Open Sans" w:hAnsi="Open Sans" w:cs="Open Sans"/>
          <w:bCs/>
          <w:sz w:val="24"/>
          <w:szCs w:val="24"/>
        </w:rPr>
      </w:pPr>
      <w:r w:rsidRPr="007F0007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 xml:space="preserve">Step </w:t>
      </w:r>
      <w:r w:rsidR="008F34CB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3</w:t>
      </w:r>
      <w:r w:rsidRPr="007F0007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:</w:t>
      </w:r>
      <w:r w:rsidRPr="007F0007">
        <w:rPr>
          <w:rFonts w:ascii="Open Sans" w:hAnsi="Open Sans" w:cs="Open Sans"/>
          <w:bCs/>
          <w:color w:val="490F52" w:themeColor="accent4"/>
          <w:sz w:val="24"/>
          <w:szCs w:val="24"/>
        </w:rPr>
        <w:t xml:space="preserve"> 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Navigate to the 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Data tab</w:t>
      </w:r>
      <w:r w:rsidR="008348D2" w:rsidRPr="008F34CB">
        <w:rPr>
          <w:rFonts w:ascii="Open Sans" w:hAnsi="Open Sans" w:cs="Open Sans"/>
          <w:bCs/>
          <w:color w:val="0A0C4A" w:themeColor="text2"/>
          <w:sz w:val="24"/>
          <w:szCs w:val="24"/>
        </w:rPr>
        <w:t xml:space="preserve">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and click on the 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“Filter” button (Data &gt; Filter)</w:t>
      </w:r>
    </w:p>
    <w:p w14:paraId="5B9B9E4B" w14:textId="77777777" w:rsidR="008348D2" w:rsidRPr="008348D2" w:rsidRDefault="008348D2" w:rsidP="008F2A8B">
      <w:pPr>
        <w:ind w:left="-720" w:right="-630"/>
        <w:jc w:val="center"/>
        <w:rPr>
          <w:rFonts w:ascii="Open Sans" w:hAnsi="Open Sans" w:cs="Open Sans"/>
          <w:b/>
          <w:sz w:val="24"/>
          <w:szCs w:val="24"/>
        </w:rPr>
      </w:pPr>
      <w:r w:rsidRPr="008348D2">
        <w:rPr>
          <w:rFonts w:ascii="Open Sans" w:hAnsi="Open Sans" w:cs="Open Sans"/>
          <w:b/>
          <w:noProof/>
          <w:sz w:val="24"/>
          <w:szCs w:val="24"/>
        </w:rPr>
        <w:lastRenderedPageBreak/>
        <w:drawing>
          <wp:inline distT="0" distB="0" distL="0" distR="0" wp14:anchorId="5315F756" wp14:editId="13BC5F05">
            <wp:extent cx="7036905" cy="1407381"/>
            <wp:effectExtent l="0" t="0" r="0" b="2540"/>
            <wp:docPr id="10" name="Picture 10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87" cy="14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F563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7C148AA5" w14:textId="368ED299" w:rsidR="008348D2" w:rsidRDefault="008348D2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t xml:space="preserve">Filters are applied to each column of the spreadsheet, allowing the user to view information that satisfies specific criteria. </w:t>
      </w:r>
    </w:p>
    <w:p w14:paraId="3B17CF42" w14:textId="77777777" w:rsidR="008348D2" w:rsidRPr="008348D2" w:rsidRDefault="008348D2" w:rsidP="008F2A8B">
      <w:pPr>
        <w:ind w:left="-720" w:right="-630"/>
        <w:jc w:val="center"/>
        <w:rPr>
          <w:rFonts w:ascii="Open Sans" w:hAnsi="Open Sans" w:cs="Open Sans"/>
          <w:b/>
          <w:sz w:val="24"/>
          <w:szCs w:val="24"/>
        </w:rPr>
      </w:pPr>
      <w:r w:rsidRPr="008348D2"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01D25226" wp14:editId="501318DD">
            <wp:extent cx="7048069" cy="66791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455" cy="6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BEDA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1B76DF6F" w14:textId="3A29C10C" w:rsidR="008348D2" w:rsidRPr="008348D2" w:rsidRDefault="008348D2" w:rsidP="008F2A8B">
      <w:pPr>
        <w:pStyle w:val="ListParagraph"/>
        <w:ind w:left="-720" w:right="-630"/>
        <w:rPr>
          <w:rFonts w:ascii="Open Sans" w:hAnsi="Open Sans" w:cs="Open Sans"/>
          <w:b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t>Each filter accommodates single or multiple selections.</w:t>
      </w:r>
      <w:r w:rsidRPr="008348D2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801ADDC" w14:textId="77777777" w:rsidR="007F0007" w:rsidRDefault="007F0007" w:rsidP="008F2A8B">
      <w:pPr>
        <w:pStyle w:val="ListParagraph"/>
        <w:ind w:left="-720" w:right="-630"/>
        <w:rPr>
          <w:rFonts w:ascii="Open Sans" w:hAnsi="Open Sans" w:cs="Open Sans"/>
          <w:sz w:val="24"/>
          <w:szCs w:val="24"/>
        </w:rPr>
      </w:pPr>
    </w:p>
    <w:p w14:paraId="23120FA9" w14:textId="44B6EA7C" w:rsidR="007F0007" w:rsidRDefault="007F0007" w:rsidP="008F2A8B">
      <w:pPr>
        <w:pStyle w:val="ListParagraph"/>
        <w:ind w:left="-720" w:right="-630"/>
        <w:rPr>
          <w:rFonts w:ascii="Open Sans" w:hAnsi="Open Sans" w:cs="Open Sans"/>
          <w:b/>
          <w:sz w:val="24"/>
          <w:szCs w:val="24"/>
        </w:rPr>
      </w:pPr>
      <w:r w:rsidRPr="007F0007"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  <w:t xml:space="preserve">Step </w:t>
      </w:r>
      <w:r w:rsidR="008F34CB"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  <w:t>4</w:t>
      </w:r>
      <w:r w:rsidRPr="007F0007">
        <w:rPr>
          <w:rFonts w:ascii="Open Sans" w:hAnsi="Open Sans" w:cs="Open Sans"/>
          <w:b/>
          <w:bCs/>
          <w:i/>
          <w:iCs/>
          <w:color w:val="490F52" w:themeColor="accent4"/>
          <w:sz w:val="24"/>
          <w:szCs w:val="24"/>
        </w:rPr>
        <w:t>:</w:t>
      </w:r>
      <w:r w:rsidRPr="007F0007">
        <w:rPr>
          <w:rFonts w:ascii="Open Sans" w:hAnsi="Open Sans" w:cs="Open Sans"/>
          <w:color w:val="490F52" w:themeColor="accent4"/>
          <w:sz w:val="24"/>
          <w:szCs w:val="24"/>
        </w:rPr>
        <w:t xml:space="preserve">  </w:t>
      </w:r>
      <w:r w:rsidR="008348D2" w:rsidRPr="008348D2">
        <w:rPr>
          <w:rFonts w:ascii="Open Sans" w:hAnsi="Open Sans" w:cs="Open Sans"/>
          <w:sz w:val="24"/>
          <w:szCs w:val="24"/>
        </w:rPr>
        <w:t xml:space="preserve">To apply a custom filter, select the </w:t>
      </w:r>
      <w:r w:rsidR="008348D2" w:rsidRPr="008F34CB">
        <w:rPr>
          <w:rFonts w:ascii="Open Sans" w:hAnsi="Open Sans" w:cs="Open Sans"/>
          <w:b/>
          <w:bCs/>
          <w:i/>
          <w:iCs/>
          <w:color w:val="0A0C4A" w:themeColor="text2"/>
          <w:sz w:val="24"/>
          <w:szCs w:val="24"/>
        </w:rPr>
        <w:t>drop-down icon</w:t>
      </w:r>
      <w:r w:rsidR="008348D2" w:rsidRPr="008F34CB">
        <w:rPr>
          <w:rFonts w:ascii="Open Sans" w:hAnsi="Open Sans" w:cs="Open Sans"/>
          <w:color w:val="0A0C4A" w:themeColor="text2"/>
          <w:sz w:val="24"/>
          <w:szCs w:val="24"/>
        </w:rPr>
        <w:t xml:space="preserve"> </w:t>
      </w:r>
      <w:r w:rsidR="008348D2" w:rsidRPr="008348D2">
        <w:rPr>
          <w:rFonts w:ascii="Open Sans" w:hAnsi="Open Sans" w:cs="Open Sans"/>
          <w:sz w:val="24"/>
          <w:szCs w:val="24"/>
        </w:rPr>
        <w:t xml:space="preserve">for the column of interest, select </w:t>
      </w:r>
      <w:r w:rsidR="008348D2" w:rsidRPr="008F34CB">
        <w:rPr>
          <w:rFonts w:ascii="Open Sans" w:hAnsi="Open Sans" w:cs="Open Sans"/>
          <w:b/>
          <w:bCs/>
          <w:i/>
          <w:iCs/>
          <w:color w:val="0A0C4A" w:themeColor="text2"/>
          <w:sz w:val="24"/>
          <w:szCs w:val="24"/>
        </w:rPr>
        <w:t>Text Filters</w:t>
      </w:r>
      <w:r w:rsidR="008348D2" w:rsidRPr="008348D2">
        <w:rPr>
          <w:rFonts w:ascii="Open Sans" w:hAnsi="Open Sans" w:cs="Open Sans"/>
          <w:b/>
          <w:sz w:val="24"/>
          <w:szCs w:val="24"/>
        </w:rPr>
        <w:t xml:space="preserve"> </w:t>
      </w:r>
      <w:r w:rsidR="008348D2" w:rsidRPr="008348D2">
        <w:rPr>
          <w:rFonts w:ascii="Open Sans" w:hAnsi="Open Sans" w:cs="Open Sans"/>
          <w:sz w:val="24"/>
          <w:szCs w:val="24"/>
        </w:rPr>
        <w:t xml:space="preserve">and then </w:t>
      </w:r>
      <w:r w:rsidR="008348D2" w:rsidRPr="008F34CB">
        <w:rPr>
          <w:rFonts w:ascii="Open Sans" w:hAnsi="Open Sans" w:cs="Open Sans"/>
          <w:b/>
          <w:bCs/>
          <w:i/>
          <w:iCs/>
          <w:color w:val="0A0C4A" w:themeColor="text2"/>
          <w:sz w:val="24"/>
          <w:szCs w:val="24"/>
        </w:rPr>
        <w:t>select a comparison</w:t>
      </w:r>
      <w:r w:rsidR="008348D2" w:rsidRPr="008348D2">
        <w:rPr>
          <w:rFonts w:ascii="Open Sans" w:hAnsi="Open Sans" w:cs="Open Sans"/>
          <w:sz w:val="24"/>
          <w:szCs w:val="24"/>
        </w:rPr>
        <w:t>, like</w:t>
      </w:r>
      <w:r w:rsidR="008348D2" w:rsidRPr="008348D2">
        <w:rPr>
          <w:rFonts w:ascii="Open Sans" w:hAnsi="Open Sans" w:cs="Open Sans"/>
          <w:b/>
          <w:sz w:val="24"/>
          <w:szCs w:val="24"/>
        </w:rPr>
        <w:t xml:space="preserve"> Begins With. </w:t>
      </w:r>
    </w:p>
    <w:p w14:paraId="0720F757" w14:textId="294402E2" w:rsidR="008348D2" w:rsidRDefault="008348D2" w:rsidP="0002449C">
      <w:pPr>
        <w:pStyle w:val="Heading1"/>
      </w:pPr>
      <w:bookmarkStart w:id="2" w:name="_Toc131764937"/>
      <w:r w:rsidRPr="008348D2">
        <w:t xml:space="preserve">Text </w:t>
      </w:r>
      <w:r w:rsidR="001040D8">
        <w:t>F</w:t>
      </w:r>
      <w:r w:rsidRPr="008348D2">
        <w:t xml:space="preserve">ilters and </w:t>
      </w:r>
      <w:r w:rsidR="001040D8">
        <w:t>F</w:t>
      </w:r>
      <w:r w:rsidRPr="008348D2">
        <w:t>unctions</w:t>
      </w:r>
      <w:bookmarkEnd w:id="2"/>
    </w:p>
    <w:tbl>
      <w:tblPr>
        <w:tblStyle w:val="TableGrid"/>
        <w:tblpPr w:leftFromText="180" w:rightFromText="180" w:vertAnchor="text" w:tblpX="-720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1040D8" w14:paraId="4F1F2F04" w14:textId="77777777" w:rsidTr="001040D8">
        <w:tc>
          <w:tcPr>
            <w:tcW w:w="4675" w:type="dxa"/>
            <w:shd w:val="clear" w:color="auto" w:fill="FFF2CF" w:themeFill="accent2" w:themeFillTint="33"/>
          </w:tcPr>
          <w:p w14:paraId="7BA17511" w14:textId="541D0B9D" w:rsidR="001040D8" w:rsidRPr="001040D8" w:rsidRDefault="001040D8" w:rsidP="008F2A8B">
            <w:pPr>
              <w:ind w:right="-630"/>
              <w:jc w:val="center"/>
              <w:rPr>
                <w:rFonts w:ascii="Open Sans" w:hAnsi="Open Sans" w:cs="Open Sans"/>
                <w:b/>
                <w:color w:val="1AA1B7" w:themeColor="accent1"/>
                <w:sz w:val="24"/>
                <w:szCs w:val="24"/>
              </w:rPr>
            </w:pPr>
            <w:r w:rsidRPr="001040D8">
              <w:rPr>
                <w:rFonts w:ascii="Open Sans" w:hAnsi="Open Sans" w:cs="Open Sans"/>
                <w:b/>
                <w:color w:val="1AA1B7" w:themeColor="accent1"/>
                <w:sz w:val="24"/>
                <w:szCs w:val="24"/>
              </w:rPr>
              <w:t>Text Filters</w:t>
            </w:r>
          </w:p>
        </w:tc>
        <w:tc>
          <w:tcPr>
            <w:tcW w:w="6120" w:type="dxa"/>
            <w:shd w:val="clear" w:color="auto" w:fill="FFF2CF" w:themeFill="accent2" w:themeFillTint="33"/>
          </w:tcPr>
          <w:p w14:paraId="7C15104C" w14:textId="4E39A936" w:rsidR="001040D8" w:rsidRPr="001040D8" w:rsidRDefault="001040D8" w:rsidP="008F2A8B">
            <w:pPr>
              <w:ind w:right="-630"/>
              <w:jc w:val="center"/>
              <w:rPr>
                <w:rFonts w:ascii="Open Sans" w:hAnsi="Open Sans" w:cs="Open Sans"/>
                <w:b/>
                <w:color w:val="1AA1B7" w:themeColor="accent1"/>
                <w:sz w:val="24"/>
                <w:szCs w:val="24"/>
              </w:rPr>
            </w:pPr>
            <w:r w:rsidRPr="001040D8">
              <w:rPr>
                <w:rFonts w:ascii="Open Sans" w:hAnsi="Open Sans" w:cs="Open Sans"/>
                <w:b/>
                <w:color w:val="1AA1B7" w:themeColor="accent1"/>
                <w:sz w:val="24"/>
                <w:szCs w:val="24"/>
              </w:rPr>
              <w:t>Function</w:t>
            </w:r>
          </w:p>
        </w:tc>
      </w:tr>
      <w:tr w:rsidR="001040D8" w14:paraId="51E61BBA" w14:textId="77777777" w:rsidTr="001040D8">
        <w:tc>
          <w:tcPr>
            <w:tcW w:w="4675" w:type="dxa"/>
            <w:vAlign w:val="bottom"/>
          </w:tcPr>
          <w:p w14:paraId="7A5B8C95" w14:textId="415983FF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Equals…</w:t>
            </w:r>
          </w:p>
        </w:tc>
        <w:tc>
          <w:tcPr>
            <w:tcW w:w="6120" w:type="dxa"/>
            <w:vAlign w:val="bottom"/>
          </w:tcPr>
          <w:p w14:paraId="252D320E" w14:textId="215CFFFE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Use to find a specific value</w:t>
            </w:r>
          </w:p>
        </w:tc>
      </w:tr>
      <w:tr w:rsidR="001040D8" w14:paraId="74D6F0FB" w14:textId="77777777" w:rsidTr="001040D8">
        <w:tc>
          <w:tcPr>
            <w:tcW w:w="4675" w:type="dxa"/>
            <w:vAlign w:val="bottom"/>
          </w:tcPr>
          <w:p w14:paraId="03C283D8" w14:textId="2229B09E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Does Not Equal…</w:t>
            </w:r>
          </w:p>
        </w:tc>
        <w:tc>
          <w:tcPr>
            <w:tcW w:w="6120" w:type="dxa"/>
            <w:vAlign w:val="bottom"/>
          </w:tcPr>
          <w:p w14:paraId="58489DB4" w14:textId="07D579B6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Use to EXCLUDE a specific value</w:t>
            </w:r>
          </w:p>
        </w:tc>
      </w:tr>
      <w:tr w:rsidR="001040D8" w14:paraId="54A448DD" w14:textId="77777777" w:rsidTr="001040D8">
        <w:tc>
          <w:tcPr>
            <w:tcW w:w="4675" w:type="dxa"/>
            <w:vAlign w:val="bottom"/>
          </w:tcPr>
          <w:p w14:paraId="74E7D147" w14:textId="34697537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Begins With…</w:t>
            </w:r>
          </w:p>
        </w:tc>
        <w:tc>
          <w:tcPr>
            <w:tcW w:w="6120" w:type="dxa"/>
            <w:vAlign w:val="bottom"/>
          </w:tcPr>
          <w:p w14:paraId="7C5499FC" w14:textId="5B98038E" w:rsidR="001040D8" w:rsidRPr="001040D8" w:rsidRDefault="001040D8" w:rsidP="008F2A8B">
            <w:pPr>
              <w:ind w:right="-630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Use to find values that begin with a certain text string</w:t>
            </w:r>
          </w:p>
        </w:tc>
      </w:tr>
      <w:tr w:rsidR="001040D8" w14:paraId="3C0CF641" w14:textId="77777777" w:rsidTr="001040D8">
        <w:tc>
          <w:tcPr>
            <w:tcW w:w="4675" w:type="dxa"/>
            <w:vAlign w:val="bottom"/>
          </w:tcPr>
          <w:p w14:paraId="3D8C2AEA" w14:textId="4CC29453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Ends With…</w:t>
            </w:r>
          </w:p>
        </w:tc>
        <w:tc>
          <w:tcPr>
            <w:tcW w:w="6120" w:type="dxa"/>
            <w:vAlign w:val="bottom"/>
          </w:tcPr>
          <w:p w14:paraId="45572AAD" w14:textId="629915D8" w:rsidR="001040D8" w:rsidRPr="001040D8" w:rsidRDefault="001040D8" w:rsidP="008F2A8B">
            <w:pPr>
              <w:ind w:right="-630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Use to find values that end with a certain text string</w:t>
            </w:r>
          </w:p>
        </w:tc>
      </w:tr>
      <w:tr w:rsidR="001040D8" w14:paraId="6EF2D528" w14:textId="77777777" w:rsidTr="001040D8">
        <w:tc>
          <w:tcPr>
            <w:tcW w:w="4675" w:type="dxa"/>
            <w:vAlign w:val="bottom"/>
          </w:tcPr>
          <w:p w14:paraId="584FF96C" w14:textId="5FC109B8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Contains…</w:t>
            </w:r>
          </w:p>
        </w:tc>
        <w:tc>
          <w:tcPr>
            <w:tcW w:w="6120" w:type="dxa"/>
            <w:vAlign w:val="bottom"/>
          </w:tcPr>
          <w:p w14:paraId="4A767BF7" w14:textId="3E7E9C9B" w:rsidR="001040D8" w:rsidRDefault="001040D8" w:rsidP="008F2A8B">
            <w:pPr>
              <w:ind w:right="-630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Use to find values that contain a text string anywhere </w:t>
            </w:r>
          </w:p>
          <w:p w14:paraId="0F208DF6" w14:textId="4D18C626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in the field</w:t>
            </w:r>
          </w:p>
        </w:tc>
      </w:tr>
      <w:tr w:rsidR="001040D8" w14:paraId="1DAA1B62" w14:textId="77777777" w:rsidTr="001040D8">
        <w:tc>
          <w:tcPr>
            <w:tcW w:w="4675" w:type="dxa"/>
            <w:vAlign w:val="bottom"/>
          </w:tcPr>
          <w:p w14:paraId="74E8419C" w14:textId="0B9EC252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Does Not Equal…</w:t>
            </w:r>
          </w:p>
        </w:tc>
        <w:tc>
          <w:tcPr>
            <w:tcW w:w="6120" w:type="dxa"/>
            <w:vAlign w:val="bottom"/>
          </w:tcPr>
          <w:p w14:paraId="6CA674FA" w14:textId="77777777" w:rsidR="001040D8" w:rsidRDefault="001040D8" w:rsidP="008F2A8B">
            <w:pPr>
              <w:ind w:right="-630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Use to EXCLUDE values that contain a text string </w:t>
            </w:r>
          </w:p>
          <w:p w14:paraId="0D29F509" w14:textId="71CD50EC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anywhere in the field</w:t>
            </w:r>
          </w:p>
        </w:tc>
      </w:tr>
      <w:tr w:rsidR="001040D8" w14:paraId="65EABD3B" w14:textId="77777777" w:rsidTr="001040D8">
        <w:trPr>
          <w:trHeight w:val="413"/>
        </w:trPr>
        <w:tc>
          <w:tcPr>
            <w:tcW w:w="4675" w:type="dxa"/>
            <w:vAlign w:val="bottom"/>
          </w:tcPr>
          <w:p w14:paraId="21E95286" w14:textId="64917B89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Custom Filter</w:t>
            </w:r>
          </w:p>
        </w:tc>
        <w:tc>
          <w:tcPr>
            <w:tcW w:w="6120" w:type="dxa"/>
            <w:vAlign w:val="bottom"/>
          </w:tcPr>
          <w:p w14:paraId="3798CFFB" w14:textId="77777777" w:rsidR="001040D8" w:rsidRDefault="001040D8" w:rsidP="008F2A8B">
            <w:pPr>
              <w:ind w:right="-630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Use to apply any of the above filters, alone or in </w:t>
            </w:r>
          </w:p>
          <w:p w14:paraId="0F0FA2F1" w14:textId="48E295C7" w:rsidR="001040D8" w:rsidRDefault="001040D8" w:rsidP="008F2A8B">
            <w:pPr>
              <w:ind w:right="-63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tandem</w:t>
            </w:r>
          </w:p>
        </w:tc>
      </w:tr>
    </w:tbl>
    <w:p w14:paraId="70930602" w14:textId="7389F64E" w:rsidR="008348D2" w:rsidRPr="008348D2" w:rsidRDefault="008348D2" w:rsidP="008F2A8B">
      <w:pPr>
        <w:ind w:left="-720" w:right="-630"/>
        <w:jc w:val="center"/>
        <w:rPr>
          <w:rFonts w:ascii="Open Sans" w:hAnsi="Open Sans" w:cs="Open Sans"/>
          <w:b/>
          <w:sz w:val="24"/>
          <w:szCs w:val="24"/>
        </w:rPr>
      </w:pPr>
    </w:p>
    <w:p w14:paraId="01EA00E1" w14:textId="77777777" w:rsidR="005041E8" w:rsidRDefault="005041E8" w:rsidP="00A559D0">
      <w:pPr>
        <w:ind w:left="-720" w:right="-630"/>
        <w:rPr>
          <w:rFonts w:ascii="Open Sans" w:hAnsi="Open Sans" w:cs="Open Sans"/>
          <w:bCs/>
          <w:sz w:val="24"/>
          <w:szCs w:val="24"/>
        </w:rPr>
      </w:pPr>
    </w:p>
    <w:p w14:paraId="21CD2BD0" w14:textId="77777777" w:rsidR="005041E8" w:rsidRDefault="005041E8" w:rsidP="00A559D0">
      <w:pPr>
        <w:ind w:left="-720" w:right="-630"/>
        <w:rPr>
          <w:rFonts w:ascii="Open Sans" w:hAnsi="Open Sans" w:cs="Open Sans"/>
          <w:bCs/>
          <w:sz w:val="24"/>
          <w:szCs w:val="24"/>
        </w:rPr>
      </w:pPr>
    </w:p>
    <w:p w14:paraId="7711C119" w14:textId="09306CDE" w:rsidR="00A559D0" w:rsidRPr="00A559D0" w:rsidRDefault="00A559D0" w:rsidP="00A559D0">
      <w:pPr>
        <w:ind w:left="-720" w:right="-630"/>
        <w:rPr>
          <w:rFonts w:ascii="Open Sans" w:hAnsi="Open Sans" w:cs="Open Sans"/>
          <w:bCs/>
          <w:sz w:val="24"/>
          <w:szCs w:val="24"/>
        </w:rPr>
      </w:pPr>
      <w:r w:rsidRPr="00A559D0">
        <w:rPr>
          <w:rFonts w:ascii="Open Sans" w:hAnsi="Open Sans" w:cs="Open Sans"/>
          <w:bCs/>
          <w:sz w:val="24"/>
          <w:szCs w:val="24"/>
        </w:rPr>
        <w:lastRenderedPageBreak/>
        <w:t>In the example below, we will be applying a filter to select procedure codes that begin with</w:t>
      </w:r>
    </w:p>
    <w:p w14:paraId="66951FFC" w14:textId="027EFF15" w:rsidR="00A559D0" w:rsidRPr="00A559D0" w:rsidRDefault="00A559D0" w:rsidP="00A559D0">
      <w:pPr>
        <w:ind w:left="-720" w:right="-630"/>
        <w:rPr>
          <w:rFonts w:ascii="Open Sans" w:hAnsi="Open Sans" w:cs="Open Sans"/>
          <w:bCs/>
          <w:sz w:val="24"/>
          <w:szCs w:val="24"/>
        </w:rPr>
      </w:pPr>
      <w:r w:rsidRPr="00A559D0">
        <w:rPr>
          <w:rFonts w:ascii="Open Sans" w:hAnsi="Open Sans" w:cs="Open Sans"/>
          <w:bCs/>
          <w:sz w:val="24"/>
          <w:szCs w:val="24"/>
        </w:rPr>
        <w:t>“000” and ends with the letter “U.”</w:t>
      </w:r>
    </w:p>
    <w:p w14:paraId="347DCEB8" w14:textId="5970459B" w:rsidR="00A559D0" w:rsidRDefault="00A559D0" w:rsidP="00A559D0">
      <w:pPr>
        <w:ind w:left="-720" w:right="-630"/>
        <w:jc w:val="center"/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</w:pPr>
      <w:r w:rsidRPr="008348D2"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432B2034" wp14:editId="687F3D03">
            <wp:extent cx="2767054" cy="2952289"/>
            <wp:effectExtent l="0" t="0" r="0" b="635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3" cy="2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E48D" w14:textId="77777777" w:rsidR="00F067D6" w:rsidRDefault="00F067D6" w:rsidP="008F2A8B">
      <w:pPr>
        <w:ind w:left="-720" w:right="-630"/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</w:pPr>
    </w:p>
    <w:p w14:paraId="36189613" w14:textId="6009B63B" w:rsidR="007F0007" w:rsidRDefault="007F0007" w:rsidP="008F2A8B">
      <w:pPr>
        <w:ind w:left="-720" w:right="-630"/>
        <w:rPr>
          <w:rFonts w:ascii="Open Sans" w:hAnsi="Open Sans" w:cs="Open Sans"/>
          <w:sz w:val="24"/>
          <w:szCs w:val="24"/>
        </w:rPr>
      </w:pPr>
      <w:r w:rsidRPr="007F0007">
        <w:rPr>
          <w:rFonts w:ascii="Open Sans" w:hAnsi="Open Sans" w:cs="Open Sans"/>
          <w:b/>
          <w:i/>
          <w:iCs/>
          <w:color w:val="490F52" w:themeColor="accent4"/>
          <w:sz w:val="24"/>
          <w:szCs w:val="24"/>
        </w:rPr>
        <w:t>Step 6:</w:t>
      </w:r>
      <w:r w:rsidRPr="007F0007">
        <w:rPr>
          <w:rFonts w:ascii="Open Sans" w:hAnsi="Open Sans" w:cs="Open Sans"/>
          <w:b/>
          <w:color w:val="490F52" w:themeColor="accent4"/>
          <w:sz w:val="24"/>
          <w:szCs w:val="24"/>
        </w:rPr>
        <w:t xml:space="preserve"> 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Enter the 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filter criteria</w:t>
      </w:r>
      <w:r w:rsidR="008348D2" w:rsidRPr="008F34CB">
        <w:rPr>
          <w:rFonts w:ascii="Open Sans" w:hAnsi="Open Sans" w:cs="Open Sans"/>
          <w:bCs/>
          <w:color w:val="0A0C4A" w:themeColor="text2"/>
          <w:sz w:val="24"/>
          <w:szCs w:val="24"/>
        </w:rPr>
        <w:t xml:space="preserve"> </w:t>
      </w:r>
      <w:r w:rsidR="008348D2" w:rsidRPr="007F0007">
        <w:rPr>
          <w:rFonts w:ascii="Open Sans" w:hAnsi="Open Sans" w:cs="Open Sans"/>
          <w:bCs/>
          <w:sz w:val="24"/>
          <w:szCs w:val="24"/>
        </w:rPr>
        <w:t xml:space="preserve">and select </w:t>
      </w:r>
      <w:r w:rsidR="008348D2" w:rsidRPr="008F34CB">
        <w:rPr>
          <w:rFonts w:ascii="Open Sans" w:hAnsi="Open Sans" w:cs="Open Sans"/>
          <w:b/>
          <w:i/>
          <w:iCs/>
          <w:color w:val="0A0C4A" w:themeColor="text2"/>
          <w:sz w:val="24"/>
          <w:szCs w:val="24"/>
        </w:rPr>
        <w:t>OK</w:t>
      </w:r>
      <w:r w:rsidR="008348D2" w:rsidRPr="007F0007">
        <w:rPr>
          <w:rFonts w:ascii="Open Sans" w:hAnsi="Open Sans" w:cs="Open Sans"/>
          <w:bCs/>
          <w:sz w:val="24"/>
          <w:szCs w:val="24"/>
        </w:rPr>
        <w:t>.</w:t>
      </w:r>
      <w:r w:rsidR="008348D2" w:rsidRPr="008348D2">
        <w:rPr>
          <w:rFonts w:ascii="Open Sans" w:hAnsi="Open Sans" w:cs="Open Sans"/>
          <w:b/>
          <w:sz w:val="24"/>
          <w:szCs w:val="24"/>
        </w:rPr>
        <w:t xml:space="preserve">  </w:t>
      </w:r>
    </w:p>
    <w:p w14:paraId="7AE50551" w14:textId="77777777" w:rsidR="007F0007" w:rsidRDefault="008348D2" w:rsidP="008F2A8B">
      <w:pPr>
        <w:ind w:left="-720" w:right="-630"/>
        <w:rPr>
          <w:rFonts w:ascii="Open Sans" w:hAnsi="Open Sans" w:cs="Open Sans"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t xml:space="preserve">In this example, the filtered rows will contain the coverage and reimbursement information for procedure codes that begin with “’000” and ends with the letter “U.” </w:t>
      </w:r>
    </w:p>
    <w:p w14:paraId="1DBBE48B" w14:textId="6B881E92" w:rsidR="00F067D6" w:rsidRPr="008348D2" w:rsidRDefault="008348D2" w:rsidP="00F067D6">
      <w:pPr>
        <w:ind w:left="-720" w:right="-630"/>
        <w:rPr>
          <w:rFonts w:ascii="Open Sans" w:hAnsi="Open Sans" w:cs="Open Sans"/>
          <w:sz w:val="24"/>
          <w:szCs w:val="24"/>
        </w:rPr>
      </w:pPr>
      <w:r w:rsidRPr="008348D2">
        <w:rPr>
          <w:rFonts w:ascii="Open Sans" w:hAnsi="Open Sans" w:cs="Open Sans"/>
          <w:sz w:val="24"/>
          <w:szCs w:val="24"/>
        </w:rPr>
        <w:t xml:space="preserve">Please be aware that the apostrophe (‘) in front of the procedure code is required when applying a custom filter to the ProcCd field (column A). </w:t>
      </w:r>
    </w:p>
    <w:p w14:paraId="51BA87BE" w14:textId="6B881E92" w:rsidR="008348D2" w:rsidRPr="008348D2" w:rsidRDefault="008348D2" w:rsidP="007F0007">
      <w:pPr>
        <w:ind w:left="-720"/>
        <w:jc w:val="center"/>
        <w:rPr>
          <w:rFonts w:ascii="Open Sans" w:hAnsi="Open Sans" w:cs="Open Sans"/>
          <w:b/>
          <w:sz w:val="24"/>
          <w:szCs w:val="24"/>
        </w:rPr>
      </w:pPr>
      <w:r w:rsidRPr="008348D2"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47D224AC" wp14:editId="30C03C10">
            <wp:extent cx="4071068" cy="2407868"/>
            <wp:effectExtent l="0" t="0" r="5715" b="0"/>
            <wp:docPr id="19" name="Picture 19" descr="Graphical user interface, text, application, table, email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table, email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80" cy="24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A647" w14:textId="77777777" w:rsidR="008348D2" w:rsidRPr="008348D2" w:rsidRDefault="008348D2" w:rsidP="008348D2">
      <w:pPr>
        <w:ind w:right="-720"/>
        <w:rPr>
          <w:rFonts w:ascii="Open Sans" w:hAnsi="Open Sans" w:cs="Open Sans"/>
          <w:b/>
          <w:sz w:val="24"/>
          <w:szCs w:val="24"/>
        </w:rPr>
        <w:sectPr w:rsidR="008348D2" w:rsidRPr="008348D2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ECDBC" w14:textId="77777777" w:rsidR="008348D2" w:rsidRPr="008348D2" w:rsidRDefault="008348D2" w:rsidP="008348D2">
      <w:pPr>
        <w:rPr>
          <w:rFonts w:ascii="Open Sans" w:hAnsi="Open Sans" w:cs="Open Sans"/>
          <w:b/>
          <w:sz w:val="24"/>
          <w:szCs w:val="24"/>
        </w:rPr>
      </w:pPr>
    </w:p>
    <w:p w14:paraId="20C753E8" w14:textId="20ADBE5F" w:rsidR="008348D2" w:rsidRDefault="008F34CB" w:rsidP="0002449C">
      <w:pPr>
        <w:pStyle w:val="Heading1"/>
      </w:pPr>
      <w:bookmarkStart w:id="3" w:name="_Toc131764938"/>
      <w:r>
        <w:t>C</w:t>
      </w:r>
      <w:r w:rsidR="008348D2" w:rsidRPr="008348D2">
        <w:t xml:space="preserve">olumn </w:t>
      </w:r>
      <w:r>
        <w:t>D</w:t>
      </w:r>
      <w:r w:rsidR="008348D2" w:rsidRPr="008348D2">
        <w:t xml:space="preserve">escriptions and </w:t>
      </w:r>
      <w:r>
        <w:t>F</w:t>
      </w:r>
      <w:r w:rsidR="008348D2" w:rsidRPr="008348D2">
        <w:t xml:space="preserve">ield </w:t>
      </w:r>
      <w:r>
        <w:t>V</w:t>
      </w:r>
      <w:r w:rsidR="008348D2" w:rsidRPr="008348D2">
        <w:t xml:space="preserve">alues for </w:t>
      </w:r>
      <w:r>
        <w:t>E</w:t>
      </w:r>
      <w:r w:rsidR="008348D2" w:rsidRPr="008348D2">
        <w:t xml:space="preserve">ach </w:t>
      </w:r>
      <w:r>
        <w:t>C</w:t>
      </w:r>
      <w:r w:rsidR="008348D2" w:rsidRPr="008348D2">
        <w:t xml:space="preserve">olumn of the </w:t>
      </w:r>
      <w:r>
        <w:t>F</w:t>
      </w:r>
      <w:r w:rsidR="008348D2" w:rsidRPr="008348D2">
        <w:t xml:space="preserve">ee </w:t>
      </w:r>
      <w:r>
        <w:t>S</w:t>
      </w:r>
      <w:r w:rsidR="008348D2" w:rsidRPr="008348D2">
        <w:t>chedule</w:t>
      </w:r>
      <w:bookmarkEnd w:id="3"/>
    </w:p>
    <w:p w14:paraId="446D166E" w14:textId="77777777" w:rsidR="00A87FE2" w:rsidRPr="00A87FE2" w:rsidRDefault="00A87FE2" w:rsidP="00A87FE2"/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1530"/>
        <w:gridCol w:w="2790"/>
        <w:gridCol w:w="3960"/>
        <w:gridCol w:w="6030"/>
      </w:tblGrid>
      <w:tr w:rsidR="008348D2" w:rsidRPr="008348D2" w14:paraId="55B78F64" w14:textId="77777777" w:rsidTr="00A87FE2">
        <w:trPr>
          <w:trHeight w:val="300"/>
          <w:tblHeader/>
        </w:trPr>
        <w:tc>
          <w:tcPr>
            <w:tcW w:w="1530" w:type="dxa"/>
            <w:shd w:val="clear" w:color="auto" w:fill="FFF2CF" w:themeFill="accent2" w:themeFillTint="33"/>
            <w:noWrap/>
            <w:hideMark/>
          </w:tcPr>
          <w:p w14:paraId="19EA9E03" w14:textId="77777777" w:rsidR="008348D2" w:rsidRPr="00A87FE2" w:rsidRDefault="008348D2" w:rsidP="00A87FE2">
            <w:pPr>
              <w:jc w:val="center"/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</w:pP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Column</w:t>
            </w:r>
          </w:p>
        </w:tc>
        <w:tc>
          <w:tcPr>
            <w:tcW w:w="2790" w:type="dxa"/>
            <w:shd w:val="clear" w:color="auto" w:fill="FFF2CF" w:themeFill="accent2" w:themeFillTint="33"/>
            <w:noWrap/>
            <w:hideMark/>
          </w:tcPr>
          <w:p w14:paraId="58BC8B71" w14:textId="21D3F900" w:rsidR="008348D2" w:rsidRPr="00A87FE2" w:rsidRDefault="008348D2" w:rsidP="00A87FE2">
            <w:pPr>
              <w:jc w:val="center"/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</w:pP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 xml:space="preserve">Field </w:t>
            </w:r>
            <w:r w:rsid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N</w:t>
            </w: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ame</w:t>
            </w:r>
          </w:p>
        </w:tc>
        <w:tc>
          <w:tcPr>
            <w:tcW w:w="3960" w:type="dxa"/>
            <w:shd w:val="clear" w:color="auto" w:fill="FFF2CF" w:themeFill="accent2" w:themeFillTint="33"/>
            <w:noWrap/>
            <w:hideMark/>
          </w:tcPr>
          <w:p w14:paraId="543E4A49" w14:textId="2A715560" w:rsidR="008348D2" w:rsidRPr="00A87FE2" w:rsidRDefault="008348D2" w:rsidP="00A87FE2">
            <w:pPr>
              <w:jc w:val="center"/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</w:pP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 xml:space="preserve">Field </w:t>
            </w:r>
            <w:r w:rsid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V</w:t>
            </w: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alues</w:t>
            </w:r>
          </w:p>
        </w:tc>
        <w:tc>
          <w:tcPr>
            <w:tcW w:w="6030" w:type="dxa"/>
            <w:shd w:val="clear" w:color="auto" w:fill="FFF2CF" w:themeFill="accent2" w:themeFillTint="33"/>
            <w:noWrap/>
            <w:hideMark/>
          </w:tcPr>
          <w:p w14:paraId="74B4C35C" w14:textId="68476BEF" w:rsidR="008348D2" w:rsidRPr="00A87FE2" w:rsidRDefault="008348D2" w:rsidP="00A87FE2">
            <w:pPr>
              <w:jc w:val="center"/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</w:pP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 xml:space="preserve">Field </w:t>
            </w:r>
            <w:r w:rsid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D</w:t>
            </w:r>
            <w:r w:rsidRPr="00A87FE2">
              <w:rPr>
                <w:rFonts w:ascii="Open Sans" w:eastAsia="Times New Roman" w:hAnsi="Open Sans" w:cs="Open Sans"/>
                <w:b/>
                <w:bCs/>
                <w:color w:val="1AA1B7" w:themeColor="accent1"/>
                <w:sz w:val="24"/>
                <w:szCs w:val="24"/>
              </w:rPr>
              <w:t>escription</w:t>
            </w:r>
          </w:p>
        </w:tc>
      </w:tr>
      <w:tr w:rsidR="008348D2" w:rsidRPr="008348D2" w14:paraId="59D1E404" w14:textId="77777777" w:rsidTr="008348D2">
        <w:trPr>
          <w:trHeight w:val="300"/>
        </w:trPr>
        <w:tc>
          <w:tcPr>
            <w:tcW w:w="1530" w:type="dxa"/>
            <w:noWrap/>
            <w:hideMark/>
          </w:tcPr>
          <w:p w14:paraId="7E04C99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</w:t>
            </w:r>
          </w:p>
        </w:tc>
        <w:tc>
          <w:tcPr>
            <w:tcW w:w="2790" w:type="dxa"/>
            <w:noWrap/>
            <w:hideMark/>
          </w:tcPr>
          <w:p w14:paraId="18B7878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ProcCode</w:t>
            </w:r>
          </w:p>
        </w:tc>
        <w:tc>
          <w:tcPr>
            <w:tcW w:w="3960" w:type="dxa"/>
            <w:noWrap/>
            <w:hideMark/>
          </w:tcPr>
          <w:p w14:paraId="53D6B9FB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Procedure code</w:t>
            </w:r>
          </w:p>
        </w:tc>
        <w:tc>
          <w:tcPr>
            <w:tcW w:w="6030" w:type="dxa"/>
            <w:noWrap/>
            <w:hideMark/>
          </w:tcPr>
          <w:p w14:paraId="6FA9A2A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Procedure code</w:t>
            </w:r>
          </w:p>
        </w:tc>
      </w:tr>
      <w:tr w:rsidR="008348D2" w:rsidRPr="008348D2" w14:paraId="03C6B8E6" w14:textId="77777777" w:rsidTr="008348D2">
        <w:trPr>
          <w:trHeight w:val="300"/>
        </w:trPr>
        <w:tc>
          <w:tcPr>
            <w:tcW w:w="1530" w:type="dxa"/>
            <w:noWrap/>
            <w:hideMark/>
          </w:tcPr>
          <w:p w14:paraId="64255753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</w:t>
            </w:r>
          </w:p>
        </w:tc>
        <w:tc>
          <w:tcPr>
            <w:tcW w:w="2790" w:type="dxa"/>
            <w:noWrap/>
            <w:hideMark/>
          </w:tcPr>
          <w:p w14:paraId="0793FE3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ProcName</w:t>
            </w:r>
          </w:p>
        </w:tc>
        <w:tc>
          <w:tcPr>
            <w:tcW w:w="3960" w:type="dxa"/>
            <w:noWrap/>
            <w:hideMark/>
          </w:tcPr>
          <w:p w14:paraId="538D6A5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Short description of the procedure code</w:t>
            </w:r>
          </w:p>
        </w:tc>
        <w:tc>
          <w:tcPr>
            <w:tcW w:w="6030" w:type="dxa"/>
            <w:noWrap/>
            <w:hideMark/>
          </w:tcPr>
          <w:p w14:paraId="7336437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Short description of the procedure code</w:t>
            </w:r>
          </w:p>
        </w:tc>
      </w:tr>
      <w:tr w:rsidR="008348D2" w:rsidRPr="008348D2" w14:paraId="3FBACDB6" w14:textId="77777777" w:rsidTr="008348D2">
        <w:trPr>
          <w:trHeight w:val="330"/>
        </w:trPr>
        <w:tc>
          <w:tcPr>
            <w:tcW w:w="1530" w:type="dxa"/>
            <w:noWrap/>
            <w:hideMark/>
          </w:tcPr>
          <w:p w14:paraId="79AFF77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90" w:type="dxa"/>
            <w:hideMark/>
          </w:tcPr>
          <w:p w14:paraId="6EB66F7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PlanType</w:t>
            </w:r>
          </w:p>
        </w:tc>
        <w:tc>
          <w:tcPr>
            <w:tcW w:w="3960" w:type="dxa"/>
            <w:hideMark/>
          </w:tcPr>
          <w:p w14:paraId="67E022F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Traditional </w:t>
            </w:r>
          </w:p>
          <w:p w14:paraId="1CAB4B9C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Non-Traditional</w:t>
            </w:r>
          </w:p>
        </w:tc>
        <w:tc>
          <w:tcPr>
            <w:tcW w:w="6030" w:type="dxa"/>
            <w:hideMark/>
          </w:tcPr>
          <w:p w14:paraId="72805146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Indicates the member plan type</w:t>
            </w:r>
          </w:p>
        </w:tc>
      </w:tr>
      <w:tr w:rsidR="008348D2" w:rsidRPr="008348D2" w14:paraId="3B52EF53" w14:textId="77777777" w:rsidTr="008348D2">
        <w:trPr>
          <w:trHeight w:val="660"/>
        </w:trPr>
        <w:tc>
          <w:tcPr>
            <w:tcW w:w="1530" w:type="dxa"/>
            <w:noWrap/>
            <w:hideMark/>
          </w:tcPr>
          <w:p w14:paraId="7C728C8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90" w:type="dxa"/>
            <w:hideMark/>
          </w:tcPr>
          <w:p w14:paraId="5185962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Type_Of_Service</w:t>
            </w:r>
          </w:p>
        </w:tc>
        <w:tc>
          <w:tcPr>
            <w:tcW w:w="3960" w:type="dxa"/>
            <w:hideMark/>
          </w:tcPr>
          <w:p w14:paraId="0CDDDC6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Anesthesia</w:t>
            </w:r>
          </w:p>
          <w:p w14:paraId="365C9EBA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Dental</w:t>
            </w:r>
          </w:p>
          <w:p w14:paraId="1A421A7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DME – Rental</w:t>
            </w:r>
          </w:p>
          <w:p w14:paraId="74FE1959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DME Purchase</w:t>
            </w:r>
          </w:p>
          <w:p w14:paraId="531F6E88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Global</w:t>
            </w:r>
          </w:p>
          <w:p w14:paraId="77E0335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Professional</w:t>
            </w:r>
          </w:p>
          <w:p w14:paraId="6F1E8BE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Technical</w:t>
            </w:r>
          </w:p>
        </w:tc>
        <w:tc>
          <w:tcPr>
            <w:tcW w:w="6030" w:type="dxa"/>
            <w:hideMark/>
          </w:tcPr>
          <w:p w14:paraId="01EB4F6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 xml:space="preserve">Indicates the type of service applicable </w:t>
            </w:r>
          </w:p>
        </w:tc>
      </w:tr>
      <w:tr w:rsidR="008348D2" w:rsidRPr="008348D2" w14:paraId="34C7BBA5" w14:textId="77777777" w:rsidTr="008348D2">
        <w:trPr>
          <w:trHeight w:val="330"/>
        </w:trPr>
        <w:tc>
          <w:tcPr>
            <w:tcW w:w="1530" w:type="dxa"/>
            <w:noWrap/>
            <w:hideMark/>
          </w:tcPr>
          <w:p w14:paraId="77B41E1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90" w:type="dxa"/>
            <w:hideMark/>
          </w:tcPr>
          <w:p w14:paraId="53F44302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CoverageStatus</w:t>
            </w:r>
          </w:p>
        </w:tc>
        <w:tc>
          <w:tcPr>
            <w:tcW w:w="3960" w:type="dxa"/>
            <w:hideMark/>
          </w:tcPr>
          <w:p w14:paraId="5CBB82F6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Covered</w:t>
            </w:r>
          </w:p>
          <w:p w14:paraId="209BEC0A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Requires Manual Pricing – Attach Documentation to Claim</w:t>
            </w:r>
          </w:p>
          <w:p w14:paraId="18BAF8DA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Requires Manual Review – Attach Documentation to Claim</w:t>
            </w:r>
          </w:p>
        </w:tc>
        <w:tc>
          <w:tcPr>
            <w:tcW w:w="6030" w:type="dxa"/>
            <w:hideMark/>
          </w:tcPr>
          <w:p w14:paraId="57E98608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Indicates the code coverage status for the member plan type and whether the code requires manual pricing or manual review, and associated documentation</w:t>
            </w:r>
          </w:p>
        </w:tc>
      </w:tr>
      <w:tr w:rsidR="008348D2" w:rsidRPr="008348D2" w14:paraId="274E888B" w14:textId="77777777" w:rsidTr="008348D2">
        <w:trPr>
          <w:trHeight w:val="951"/>
        </w:trPr>
        <w:tc>
          <w:tcPr>
            <w:tcW w:w="1530" w:type="dxa"/>
            <w:noWrap/>
            <w:hideMark/>
          </w:tcPr>
          <w:p w14:paraId="6D76818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90" w:type="dxa"/>
            <w:hideMark/>
          </w:tcPr>
          <w:p w14:paraId="76532686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ChargeFactor</w:t>
            </w:r>
          </w:p>
        </w:tc>
        <w:tc>
          <w:tcPr>
            <w:tcW w:w="3960" w:type="dxa"/>
            <w:hideMark/>
          </w:tcPr>
          <w:p w14:paraId="6EF9DBD6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(Charge factor dollar amount or number of anesthesia base units)</w:t>
            </w:r>
          </w:p>
        </w:tc>
        <w:tc>
          <w:tcPr>
            <w:tcW w:w="6030" w:type="dxa"/>
            <w:hideMark/>
          </w:tcPr>
          <w:p w14:paraId="02739602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The charge base or fee schedule reimbursement amount</w:t>
            </w:r>
          </w:p>
        </w:tc>
      </w:tr>
      <w:tr w:rsidR="008348D2" w:rsidRPr="008348D2" w14:paraId="5CB13A7B" w14:textId="77777777" w:rsidTr="008348D2">
        <w:trPr>
          <w:trHeight w:val="294"/>
        </w:trPr>
        <w:tc>
          <w:tcPr>
            <w:tcW w:w="1530" w:type="dxa"/>
            <w:noWrap/>
            <w:hideMark/>
          </w:tcPr>
          <w:p w14:paraId="0AD910B9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G</w:t>
            </w:r>
          </w:p>
        </w:tc>
        <w:tc>
          <w:tcPr>
            <w:tcW w:w="2790" w:type="dxa"/>
            <w:hideMark/>
          </w:tcPr>
          <w:p w14:paraId="4463339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CoveredAges</w:t>
            </w:r>
          </w:p>
        </w:tc>
        <w:tc>
          <w:tcPr>
            <w:tcW w:w="3960" w:type="dxa"/>
            <w:hideMark/>
          </w:tcPr>
          <w:p w14:paraId="2CC006E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(Covered age range, inclusive)</w:t>
            </w:r>
          </w:p>
        </w:tc>
        <w:tc>
          <w:tcPr>
            <w:tcW w:w="6030" w:type="dxa"/>
            <w:hideMark/>
          </w:tcPr>
          <w:p w14:paraId="00F5047E" w14:textId="77777777" w:rsid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The age range for which Medicaid covers the service for the member’s plan type</w:t>
            </w:r>
          </w:p>
          <w:p w14:paraId="06700FAE" w14:textId="77777777" w:rsidR="00A15058" w:rsidRDefault="00A15058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14:paraId="5DD55881" w14:textId="7FEB4CFA" w:rsidR="00984AD9" w:rsidRPr="008348D2" w:rsidRDefault="00984AD9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348D2" w:rsidRPr="008348D2" w14:paraId="4A1BB1AD" w14:textId="77777777" w:rsidTr="008348D2">
        <w:trPr>
          <w:trHeight w:val="744"/>
        </w:trPr>
        <w:tc>
          <w:tcPr>
            <w:tcW w:w="1530" w:type="dxa"/>
            <w:noWrap/>
            <w:hideMark/>
          </w:tcPr>
          <w:p w14:paraId="161D76EC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2790" w:type="dxa"/>
            <w:hideMark/>
          </w:tcPr>
          <w:p w14:paraId="0368075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PA_Requirements</w:t>
            </w:r>
          </w:p>
        </w:tc>
        <w:tc>
          <w:tcPr>
            <w:tcW w:w="3960" w:type="dxa"/>
            <w:hideMark/>
          </w:tcPr>
          <w:p w14:paraId="48EE52A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N/A</w:t>
            </w:r>
          </w:p>
          <w:p w14:paraId="79E56D10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No</w:t>
            </w:r>
          </w:p>
          <w:p w14:paraId="7195F8F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Quantity limit applies</w:t>
            </w:r>
          </w:p>
          <w:p w14:paraId="217C38C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Required with billed as inpatient</w:t>
            </w:r>
          </w:p>
          <w:p w14:paraId="3599F9B0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See age range</w:t>
            </w:r>
          </w:p>
          <w:p w14:paraId="6F0CA9E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Unit Limit applies</w:t>
            </w:r>
          </w:p>
          <w:p w14:paraId="53DF025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</w:t>
            </w:r>
          </w:p>
          <w:p w14:paraId="2D6ACF4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Yes, Abortion consent form required</w:t>
            </w:r>
          </w:p>
          <w:p w14:paraId="759FA02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Yes, Hysterectomy consent form required</w:t>
            </w:r>
          </w:p>
          <w:p w14:paraId="07D0CB13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Yes, Sterilization consent form required</w:t>
            </w:r>
          </w:p>
          <w:p w14:paraId="700B3A9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Yes, Wheelchair evaluation forms and PA required</w:t>
            </w:r>
          </w:p>
        </w:tc>
        <w:tc>
          <w:tcPr>
            <w:tcW w:w="6030" w:type="dxa"/>
            <w:hideMark/>
          </w:tcPr>
          <w:p w14:paraId="79D3B6E0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This indicator is used when a prior authorization is required. A valid PA number will need to be submitted on the claim.</w:t>
            </w:r>
          </w:p>
        </w:tc>
      </w:tr>
      <w:tr w:rsidR="008348D2" w:rsidRPr="008348D2" w14:paraId="282FEA8D" w14:textId="77777777" w:rsidTr="008348D2">
        <w:trPr>
          <w:trHeight w:val="258"/>
        </w:trPr>
        <w:tc>
          <w:tcPr>
            <w:tcW w:w="1530" w:type="dxa"/>
            <w:noWrap/>
            <w:hideMark/>
          </w:tcPr>
          <w:p w14:paraId="237C0EE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90" w:type="dxa"/>
            <w:hideMark/>
          </w:tcPr>
          <w:p w14:paraId="695420E2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PA_Ages</w:t>
            </w:r>
          </w:p>
        </w:tc>
        <w:tc>
          <w:tcPr>
            <w:tcW w:w="3960" w:type="dxa"/>
            <w:hideMark/>
          </w:tcPr>
          <w:p w14:paraId="5B7E790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None</w:t>
            </w:r>
          </w:p>
          <w:p w14:paraId="1DF71110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N/A</w:t>
            </w:r>
          </w:p>
          <w:p w14:paraId="2A5659C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Specific age range</w:t>
            </w:r>
          </w:p>
        </w:tc>
        <w:tc>
          <w:tcPr>
            <w:tcW w:w="6030" w:type="dxa"/>
            <w:hideMark/>
          </w:tcPr>
          <w:p w14:paraId="4DBEB4E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 xml:space="preserve">Indicates the age range subject to prior authorization requirements </w:t>
            </w:r>
          </w:p>
        </w:tc>
      </w:tr>
      <w:tr w:rsidR="008348D2" w:rsidRPr="008348D2" w14:paraId="2DA072FC" w14:textId="77777777" w:rsidTr="008348D2">
        <w:trPr>
          <w:trHeight w:val="717"/>
        </w:trPr>
        <w:tc>
          <w:tcPr>
            <w:tcW w:w="1530" w:type="dxa"/>
            <w:noWrap/>
            <w:hideMark/>
          </w:tcPr>
          <w:p w14:paraId="5145DFC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J</w:t>
            </w:r>
          </w:p>
        </w:tc>
        <w:tc>
          <w:tcPr>
            <w:tcW w:w="2790" w:type="dxa"/>
            <w:hideMark/>
          </w:tcPr>
          <w:p w14:paraId="00A6330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PA_Limit</w:t>
            </w:r>
          </w:p>
        </w:tc>
        <w:tc>
          <w:tcPr>
            <w:tcW w:w="3960" w:type="dxa"/>
            <w:hideMark/>
          </w:tcPr>
          <w:p w14:paraId="0301533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 xml:space="preserve">Maximum unit limit allowed </w:t>
            </w:r>
          </w:p>
        </w:tc>
        <w:tc>
          <w:tcPr>
            <w:tcW w:w="6030" w:type="dxa"/>
            <w:hideMark/>
          </w:tcPr>
          <w:p w14:paraId="64E12DA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 xml:space="preserve">Maximum unit limit allowed by a prior authorization </w:t>
            </w:r>
          </w:p>
        </w:tc>
      </w:tr>
      <w:tr w:rsidR="008348D2" w:rsidRPr="008348D2" w14:paraId="7B759B55" w14:textId="77777777" w:rsidTr="008348D2">
        <w:trPr>
          <w:trHeight w:val="861"/>
        </w:trPr>
        <w:tc>
          <w:tcPr>
            <w:tcW w:w="1530" w:type="dxa"/>
            <w:noWrap/>
            <w:hideMark/>
          </w:tcPr>
          <w:p w14:paraId="7F67F19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K</w:t>
            </w:r>
          </w:p>
        </w:tc>
        <w:tc>
          <w:tcPr>
            <w:tcW w:w="2790" w:type="dxa"/>
            <w:hideMark/>
          </w:tcPr>
          <w:p w14:paraId="51ABB84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AllowedGender</w:t>
            </w:r>
          </w:p>
        </w:tc>
        <w:tc>
          <w:tcPr>
            <w:tcW w:w="3960" w:type="dxa"/>
            <w:hideMark/>
          </w:tcPr>
          <w:p w14:paraId="43C9127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Both</w:t>
            </w:r>
          </w:p>
          <w:p w14:paraId="13D76D6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Female</w:t>
            </w:r>
          </w:p>
          <w:p w14:paraId="4A8CC509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6030" w:type="dxa"/>
            <w:hideMark/>
          </w:tcPr>
          <w:p w14:paraId="156FC21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Indicates whether the service is reimbursable for a specified gender</w:t>
            </w:r>
          </w:p>
        </w:tc>
      </w:tr>
      <w:tr w:rsidR="008348D2" w:rsidRPr="008348D2" w14:paraId="463A5984" w14:textId="77777777" w:rsidTr="008348D2">
        <w:trPr>
          <w:trHeight w:val="798"/>
        </w:trPr>
        <w:tc>
          <w:tcPr>
            <w:tcW w:w="1530" w:type="dxa"/>
            <w:noWrap/>
            <w:hideMark/>
          </w:tcPr>
          <w:p w14:paraId="69D507C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L</w:t>
            </w:r>
          </w:p>
        </w:tc>
        <w:tc>
          <w:tcPr>
            <w:tcW w:w="2790" w:type="dxa"/>
            <w:hideMark/>
          </w:tcPr>
          <w:p w14:paraId="2C997AD3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CoPayment</w:t>
            </w:r>
          </w:p>
        </w:tc>
        <w:tc>
          <w:tcPr>
            <w:tcW w:w="3960" w:type="dxa"/>
            <w:hideMark/>
          </w:tcPr>
          <w:p w14:paraId="1709B65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</w:t>
            </w:r>
          </w:p>
          <w:p w14:paraId="6AA4D83B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030" w:type="dxa"/>
            <w:hideMark/>
          </w:tcPr>
          <w:p w14:paraId="51084B3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 xml:space="preserve">Indicates whether a member copayment applies to the service. </w:t>
            </w:r>
          </w:p>
        </w:tc>
      </w:tr>
      <w:tr w:rsidR="008348D2" w:rsidRPr="008348D2" w14:paraId="3C3DF60D" w14:textId="77777777" w:rsidTr="008348D2">
        <w:trPr>
          <w:trHeight w:val="141"/>
        </w:trPr>
        <w:tc>
          <w:tcPr>
            <w:tcW w:w="1530" w:type="dxa"/>
            <w:noWrap/>
            <w:hideMark/>
          </w:tcPr>
          <w:p w14:paraId="4789034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90" w:type="dxa"/>
            <w:hideMark/>
          </w:tcPr>
          <w:p w14:paraId="6E50A5D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PostOpDays</w:t>
            </w:r>
          </w:p>
        </w:tc>
        <w:tc>
          <w:tcPr>
            <w:tcW w:w="3960" w:type="dxa"/>
            <w:hideMark/>
          </w:tcPr>
          <w:p w14:paraId="26F6450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(Number of post operative days)</w:t>
            </w:r>
          </w:p>
        </w:tc>
        <w:tc>
          <w:tcPr>
            <w:tcW w:w="6030" w:type="dxa"/>
            <w:hideMark/>
          </w:tcPr>
          <w:p w14:paraId="50C1F76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Only applicable to surgical services reimbursed as part of “global periods” that include the procedure and services provided in the periods immediately before and after the surgical procedure</w:t>
            </w:r>
          </w:p>
        </w:tc>
      </w:tr>
      <w:tr w:rsidR="008348D2" w:rsidRPr="008348D2" w14:paraId="38E2C131" w14:textId="77777777" w:rsidTr="008348D2">
        <w:trPr>
          <w:trHeight w:val="861"/>
        </w:trPr>
        <w:tc>
          <w:tcPr>
            <w:tcW w:w="1530" w:type="dxa"/>
            <w:noWrap/>
            <w:hideMark/>
          </w:tcPr>
          <w:p w14:paraId="30152851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2790" w:type="dxa"/>
            <w:hideMark/>
          </w:tcPr>
          <w:p w14:paraId="36B86BDD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ApplicableDentalArea</w:t>
            </w:r>
          </w:p>
        </w:tc>
        <w:tc>
          <w:tcPr>
            <w:tcW w:w="3960" w:type="dxa"/>
            <w:hideMark/>
          </w:tcPr>
          <w:p w14:paraId="5C0EDF37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(Specific dental area)</w:t>
            </w:r>
          </w:p>
        </w:tc>
        <w:tc>
          <w:tcPr>
            <w:tcW w:w="6030" w:type="dxa"/>
            <w:hideMark/>
          </w:tcPr>
          <w:p w14:paraId="41962A54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Indicates that a dental area designation code must be submitted on the claim</w:t>
            </w:r>
          </w:p>
        </w:tc>
      </w:tr>
      <w:tr w:rsidR="008348D2" w:rsidRPr="008348D2" w14:paraId="4F381E21" w14:textId="77777777" w:rsidTr="008348D2">
        <w:trPr>
          <w:trHeight w:val="660"/>
        </w:trPr>
        <w:tc>
          <w:tcPr>
            <w:tcW w:w="1530" w:type="dxa"/>
            <w:noWrap/>
            <w:hideMark/>
          </w:tcPr>
          <w:p w14:paraId="6E1A451F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O</w:t>
            </w:r>
          </w:p>
        </w:tc>
        <w:tc>
          <w:tcPr>
            <w:tcW w:w="2790" w:type="dxa"/>
            <w:hideMark/>
          </w:tcPr>
          <w:p w14:paraId="00DAABAE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AsstSurg</w:t>
            </w:r>
          </w:p>
        </w:tc>
        <w:tc>
          <w:tcPr>
            <w:tcW w:w="3960" w:type="dxa"/>
            <w:hideMark/>
          </w:tcPr>
          <w:p w14:paraId="5FF8D799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Yes</w:t>
            </w:r>
          </w:p>
          <w:p w14:paraId="6873FAEC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030" w:type="dxa"/>
            <w:hideMark/>
          </w:tcPr>
          <w:p w14:paraId="446E1C15" w14:textId="77777777" w:rsidR="008348D2" w:rsidRPr="008348D2" w:rsidRDefault="008348D2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Indicates whether the service is a reimbursable service set forth in the Assistant-at-Surgery Eligible list</w:t>
            </w:r>
          </w:p>
        </w:tc>
      </w:tr>
      <w:tr w:rsidR="00984AD9" w:rsidRPr="008348D2" w14:paraId="2C8E0B58" w14:textId="77777777" w:rsidTr="008348D2">
        <w:trPr>
          <w:trHeight w:val="492"/>
        </w:trPr>
        <w:tc>
          <w:tcPr>
            <w:tcW w:w="1530" w:type="dxa"/>
            <w:noWrap/>
            <w:hideMark/>
          </w:tcPr>
          <w:p w14:paraId="36E8C349" w14:textId="20480349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</w:t>
            </w:r>
          </w:p>
        </w:tc>
        <w:tc>
          <w:tcPr>
            <w:tcW w:w="2790" w:type="dxa"/>
            <w:hideMark/>
          </w:tcPr>
          <w:p w14:paraId="1A98A58F" w14:textId="4AAD2CD6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BillableForNHClient</w:t>
            </w:r>
          </w:p>
        </w:tc>
        <w:tc>
          <w:tcPr>
            <w:tcW w:w="3960" w:type="dxa"/>
            <w:hideMark/>
          </w:tcPr>
          <w:p w14:paraId="74CCF0AB" w14:textId="77777777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Covered in per diem rate</w:t>
            </w:r>
          </w:p>
          <w:p w14:paraId="35D753FC" w14:textId="7539CBD3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Reimbursable for nursing home resident</w:t>
            </w:r>
          </w:p>
        </w:tc>
        <w:tc>
          <w:tcPr>
            <w:tcW w:w="6030" w:type="dxa"/>
            <w:hideMark/>
          </w:tcPr>
          <w:p w14:paraId="20BDCDD4" w14:textId="4375738C" w:rsidR="00984AD9" w:rsidRPr="008348D2" w:rsidRDefault="00984AD9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This Indicator is used to identify whether the service is covered in a nursing home per diem rate or considered an ancillary service for nursing home residents</w:t>
            </w:r>
          </w:p>
        </w:tc>
      </w:tr>
      <w:tr w:rsidR="00984AD9" w:rsidRPr="008348D2" w14:paraId="1752F2D7" w14:textId="77777777" w:rsidTr="008348D2">
        <w:trPr>
          <w:trHeight w:val="321"/>
        </w:trPr>
        <w:tc>
          <w:tcPr>
            <w:tcW w:w="1530" w:type="dxa"/>
            <w:noWrap/>
            <w:hideMark/>
          </w:tcPr>
          <w:p w14:paraId="6055F3D4" w14:textId="34B11AD4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Q</w:t>
            </w:r>
          </w:p>
        </w:tc>
        <w:tc>
          <w:tcPr>
            <w:tcW w:w="2790" w:type="dxa"/>
            <w:hideMark/>
          </w:tcPr>
          <w:p w14:paraId="5C77E315" w14:textId="6D04E15B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EffectiveStartdate</w:t>
            </w:r>
          </w:p>
        </w:tc>
        <w:tc>
          <w:tcPr>
            <w:tcW w:w="3960" w:type="dxa"/>
            <w:hideMark/>
          </w:tcPr>
          <w:p w14:paraId="49E266DE" w14:textId="796661FA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(Date on which current fee schedule went into effect)</w:t>
            </w:r>
          </w:p>
        </w:tc>
        <w:tc>
          <w:tcPr>
            <w:tcW w:w="6030" w:type="dxa"/>
          </w:tcPr>
          <w:p w14:paraId="0D913961" w14:textId="41200F83" w:rsidR="00984AD9" w:rsidRPr="008348D2" w:rsidRDefault="00984AD9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Date on which current fee schedule went into effect</w:t>
            </w:r>
          </w:p>
        </w:tc>
      </w:tr>
      <w:tr w:rsidR="00984AD9" w:rsidRPr="008348D2" w14:paraId="5E080B05" w14:textId="77777777" w:rsidTr="008348D2">
        <w:trPr>
          <w:trHeight w:val="645"/>
        </w:trPr>
        <w:tc>
          <w:tcPr>
            <w:tcW w:w="1530" w:type="dxa"/>
            <w:noWrap/>
            <w:hideMark/>
          </w:tcPr>
          <w:p w14:paraId="643AE936" w14:textId="1BDF4B75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90" w:type="dxa"/>
            <w:hideMark/>
          </w:tcPr>
          <w:p w14:paraId="4311A4EB" w14:textId="2259F4F3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EffectiveEndDate</w:t>
            </w:r>
          </w:p>
        </w:tc>
        <w:tc>
          <w:tcPr>
            <w:tcW w:w="3960" w:type="dxa"/>
            <w:hideMark/>
          </w:tcPr>
          <w:p w14:paraId="16F09F38" w14:textId="35FF64AC" w:rsidR="00984AD9" w:rsidRPr="008348D2" w:rsidRDefault="00984AD9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(Date on which current fee schedule expires)</w:t>
            </w:r>
          </w:p>
        </w:tc>
        <w:tc>
          <w:tcPr>
            <w:tcW w:w="6030" w:type="dxa"/>
          </w:tcPr>
          <w:p w14:paraId="2818E4A3" w14:textId="400D3EEA" w:rsidR="00984AD9" w:rsidRPr="008348D2" w:rsidRDefault="00984AD9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Date on which current fee schedule expires</w:t>
            </w:r>
          </w:p>
        </w:tc>
      </w:tr>
      <w:tr w:rsidR="00984AD9" w:rsidRPr="008348D2" w14:paraId="390CA4C0" w14:textId="77777777" w:rsidTr="008348D2">
        <w:trPr>
          <w:trHeight w:val="2274"/>
        </w:trPr>
        <w:tc>
          <w:tcPr>
            <w:tcW w:w="1530" w:type="dxa"/>
            <w:noWrap/>
            <w:hideMark/>
          </w:tcPr>
          <w:p w14:paraId="759B956E" w14:textId="238F81A2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90" w:type="dxa"/>
            <w:hideMark/>
          </w:tcPr>
          <w:p w14:paraId="6CC09C43" w14:textId="46F765FF" w:rsidR="00984AD9" w:rsidRPr="008348D2" w:rsidRDefault="00984AD9" w:rsidP="000C6939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SpecialNotes</w:t>
            </w:r>
          </w:p>
        </w:tc>
        <w:tc>
          <w:tcPr>
            <w:tcW w:w="3960" w:type="dxa"/>
            <w:hideMark/>
          </w:tcPr>
          <w:p w14:paraId="3437A78F" w14:textId="4831CA22" w:rsidR="00984AD9" w:rsidRPr="008348D2" w:rsidRDefault="00984AD9" w:rsidP="000C6939">
            <w:pP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</w:rPr>
              <w:t>(Additional guidance on coverage and reimbursement policy)</w:t>
            </w:r>
          </w:p>
        </w:tc>
        <w:tc>
          <w:tcPr>
            <w:tcW w:w="6030" w:type="dxa"/>
            <w:hideMark/>
          </w:tcPr>
          <w:p w14:paraId="5623DE1B" w14:textId="4117F4F9" w:rsidR="00984AD9" w:rsidRPr="008348D2" w:rsidRDefault="00984AD9" w:rsidP="000C693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348D2">
              <w:rPr>
                <w:rFonts w:ascii="Open Sans" w:eastAsia="Times New Roman" w:hAnsi="Open Sans" w:cs="Open Sans"/>
                <w:sz w:val="24"/>
                <w:szCs w:val="24"/>
              </w:rPr>
              <w:t>Additional guidance on coverage and reimbursement policy</w:t>
            </w:r>
          </w:p>
        </w:tc>
      </w:tr>
    </w:tbl>
    <w:p w14:paraId="0C223BE7" w14:textId="77777777" w:rsidR="008348D2" w:rsidRPr="00F7716F" w:rsidRDefault="008348D2" w:rsidP="008348D2">
      <w:pPr>
        <w:rPr>
          <w:rFonts w:cstheme="minorHAnsi"/>
          <w:b/>
          <w:sz w:val="18"/>
          <w:szCs w:val="18"/>
        </w:rPr>
      </w:pPr>
    </w:p>
    <w:p w14:paraId="1860CE42" w14:textId="77777777" w:rsidR="008348D2" w:rsidRPr="00F7716F" w:rsidRDefault="008348D2" w:rsidP="008348D2">
      <w:pPr>
        <w:rPr>
          <w:rFonts w:cstheme="minorHAnsi"/>
          <w:b/>
          <w:sz w:val="18"/>
          <w:szCs w:val="18"/>
        </w:rPr>
      </w:pPr>
    </w:p>
    <w:p w14:paraId="3E2500AB" w14:textId="77777777" w:rsidR="005943BE" w:rsidRPr="005943BE" w:rsidRDefault="005943BE" w:rsidP="005943BE"/>
    <w:p w14:paraId="2C9784E7" w14:textId="77777777" w:rsidR="005943BE" w:rsidRPr="005943BE" w:rsidRDefault="005943BE" w:rsidP="005943BE"/>
    <w:p w14:paraId="4BD25128" w14:textId="77777777" w:rsidR="005943BE" w:rsidRPr="005943BE" w:rsidRDefault="005943BE" w:rsidP="005943BE"/>
    <w:sectPr w:rsidR="005943BE" w:rsidRPr="005943BE" w:rsidSect="008348D2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BA1F" w14:textId="77777777" w:rsidR="006C2836" w:rsidRDefault="006C2836" w:rsidP="007E0AA6">
      <w:pPr>
        <w:spacing w:after="0" w:line="240" w:lineRule="auto"/>
      </w:pPr>
      <w:r>
        <w:separator/>
      </w:r>
    </w:p>
  </w:endnote>
  <w:endnote w:type="continuationSeparator" w:id="0">
    <w:p w14:paraId="532FB8AA" w14:textId="77777777" w:rsidR="006C2836" w:rsidRDefault="006C2836" w:rsidP="007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B863" w14:textId="0D935307" w:rsidR="008F34CB" w:rsidRDefault="008F34CB" w:rsidP="008F34CB">
    <w:pPr>
      <w:pStyle w:val="Footer"/>
    </w:pPr>
    <w:r>
      <w:t>Accessing Coverage and Reimbursement Information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1568AB8" w14:textId="6903219F" w:rsidR="008348D2" w:rsidRPr="008F34CB" w:rsidRDefault="008348D2" w:rsidP="008F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9C43" w14:textId="04CD4C08" w:rsidR="007E0AA6" w:rsidRPr="00D255A3" w:rsidRDefault="0002449C">
    <w:pPr>
      <w:pStyle w:val="Footer"/>
      <w:rPr>
        <w:rFonts w:ascii="Open Sans" w:hAnsi="Open Sans" w:cs="Open Sans"/>
        <w:sz w:val="24"/>
        <w:szCs w:val="24"/>
      </w:rPr>
    </w:pPr>
    <w:r w:rsidRPr="0002449C">
      <w:rPr>
        <w:rFonts w:ascii="Open Sans" w:hAnsi="Open Sans" w:cs="Open Sans"/>
        <w:sz w:val="24"/>
        <w:szCs w:val="24"/>
      </w:rPr>
      <w:t>Accessing Coverage and Reimbursement Information</w:t>
    </w:r>
    <w:r w:rsidR="007E0AA6" w:rsidRPr="0002449C">
      <w:rPr>
        <w:rFonts w:ascii="Open Sans" w:hAnsi="Open Sans" w:cs="Open Sans"/>
        <w:sz w:val="24"/>
        <w:szCs w:val="24"/>
      </w:rPr>
      <w:tab/>
    </w:r>
    <w:r w:rsidR="007E0AA6" w:rsidRPr="00D255A3">
      <w:rPr>
        <w:rFonts w:ascii="Open Sans" w:hAnsi="Open Sans" w:cs="Open Sans"/>
        <w:sz w:val="24"/>
        <w:szCs w:val="24"/>
      </w:rPr>
      <w:tab/>
      <w:t xml:space="preserve">Page </w: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begin"/>
    </w:r>
    <w:r w:rsidR="007E0AA6" w:rsidRPr="00D255A3">
      <w:rPr>
        <w:rFonts w:ascii="Open Sans" w:hAnsi="Open Sans" w:cs="Open Sans"/>
        <w:b/>
        <w:bCs/>
        <w:sz w:val="24"/>
        <w:szCs w:val="24"/>
      </w:rPr>
      <w:instrText xml:space="preserve"> PAGE  \* Arabic  \* MERGEFORMAT </w:instrTex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separate"/>
    </w:r>
    <w:r w:rsidR="007E0AA6" w:rsidRPr="00D255A3">
      <w:rPr>
        <w:rFonts w:ascii="Open Sans" w:hAnsi="Open Sans" w:cs="Open Sans"/>
        <w:b/>
        <w:bCs/>
        <w:noProof/>
        <w:sz w:val="24"/>
        <w:szCs w:val="24"/>
      </w:rPr>
      <w:t>1</w: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end"/>
    </w:r>
    <w:r w:rsidR="007E0AA6" w:rsidRPr="00D255A3">
      <w:rPr>
        <w:rFonts w:ascii="Open Sans" w:hAnsi="Open Sans" w:cs="Open Sans"/>
        <w:sz w:val="24"/>
        <w:szCs w:val="24"/>
      </w:rPr>
      <w:t xml:space="preserve"> of </w: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begin"/>
    </w:r>
    <w:r w:rsidR="007E0AA6" w:rsidRPr="00D255A3">
      <w:rPr>
        <w:rFonts w:ascii="Open Sans" w:hAnsi="Open Sans" w:cs="Open Sans"/>
        <w:b/>
        <w:bCs/>
        <w:sz w:val="24"/>
        <w:szCs w:val="24"/>
      </w:rPr>
      <w:instrText xml:space="preserve"> NUMPAGES  \* Arabic  \* MERGEFORMAT </w:instrTex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separate"/>
    </w:r>
    <w:r w:rsidR="007E0AA6" w:rsidRPr="00D255A3">
      <w:rPr>
        <w:rFonts w:ascii="Open Sans" w:hAnsi="Open Sans" w:cs="Open Sans"/>
        <w:b/>
        <w:bCs/>
        <w:noProof/>
        <w:sz w:val="24"/>
        <w:szCs w:val="24"/>
      </w:rPr>
      <w:t>2</w:t>
    </w:r>
    <w:r w:rsidR="007E0AA6" w:rsidRPr="00D255A3">
      <w:rPr>
        <w:rFonts w:ascii="Open Sans" w:hAnsi="Open Sans" w:cs="Open Sans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9BCA" w14:textId="77777777" w:rsidR="006C2836" w:rsidRDefault="006C2836" w:rsidP="007E0AA6">
      <w:pPr>
        <w:spacing w:after="0" w:line="240" w:lineRule="auto"/>
      </w:pPr>
      <w:r>
        <w:separator/>
      </w:r>
    </w:p>
  </w:footnote>
  <w:footnote w:type="continuationSeparator" w:id="0">
    <w:p w14:paraId="632DC88C" w14:textId="77777777" w:rsidR="006C2836" w:rsidRDefault="006C2836" w:rsidP="007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D32"/>
    <w:multiLevelType w:val="hybridMultilevel"/>
    <w:tmpl w:val="3938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02A4"/>
    <w:multiLevelType w:val="hybridMultilevel"/>
    <w:tmpl w:val="B06CA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9241C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82783">
    <w:abstractNumId w:val="0"/>
  </w:num>
  <w:num w:numId="2" w16cid:durableId="131533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FC"/>
    <w:rsid w:val="0001217E"/>
    <w:rsid w:val="0002449C"/>
    <w:rsid w:val="000608EB"/>
    <w:rsid w:val="000646B1"/>
    <w:rsid w:val="000B4EDD"/>
    <w:rsid w:val="001040D8"/>
    <w:rsid w:val="00155566"/>
    <w:rsid w:val="00253303"/>
    <w:rsid w:val="002A13D0"/>
    <w:rsid w:val="002F5AB1"/>
    <w:rsid w:val="00330B1B"/>
    <w:rsid w:val="00363961"/>
    <w:rsid w:val="003A1FED"/>
    <w:rsid w:val="003A40ED"/>
    <w:rsid w:val="003C799E"/>
    <w:rsid w:val="003F6DC3"/>
    <w:rsid w:val="00480890"/>
    <w:rsid w:val="004A4D8A"/>
    <w:rsid w:val="004D29E2"/>
    <w:rsid w:val="004E670F"/>
    <w:rsid w:val="004F6422"/>
    <w:rsid w:val="005041E8"/>
    <w:rsid w:val="00565DC7"/>
    <w:rsid w:val="00587AE7"/>
    <w:rsid w:val="005943BE"/>
    <w:rsid w:val="005A5E9F"/>
    <w:rsid w:val="00641E45"/>
    <w:rsid w:val="006C2836"/>
    <w:rsid w:val="00756074"/>
    <w:rsid w:val="00764FEA"/>
    <w:rsid w:val="007D537E"/>
    <w:rsid w:val="007E0AA6"/>
    <w:rsid w:val="007F0007"/>
    <w:rsid w:val="008067FC"/>
    <w:rsid w:val="00834856"/>
    <w:rsid w:val="008348D2"/>
    <w:rsid w:val="0084227A"/>
    <w:rsid w:val="008520A6"/>
    <w:rsid w:val="008A240C"/>
    <w:rsid w:val="008F2A8B"/>
    <w:rsid w:val="008F34CB"/>
    <w:rsid w:val="00984AD9"/>
    <w:rsid w:val="00A15058"/>
    <w:rsid w:val="00A24FF0"/>
    <w:rsid w:val="00A30322"/>
    <w:rsid w:val="00A559D0"/>
    <w:rsid w:val="00A87FE2"/>
    <w:rsid w:val="00AA3F85"/>
    <w:rsid w:val="00B3757C"/>
    <w:rsid w:val="00BB3F0E"/>
    <w:rsid w:val="00C91CBD"/>
    <w:rsid w:val="00CB009D"/>
    <w:rsid w:val="00D255A3"/>
    <w:rsid w:val="00D60268"/>
    <w:rsid w:val="00DE1552"/>
    <w:rsid w:val="00DF6BB0"/>
    <w:rsid w:val="00E0541A"/>
    <w:rsid w:val="00EF55F1"/>
    <w:rsid w:val="00F067D6"/>
    <w:rsid w:val="00F71FB7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9B77"/>
  <w15:chartTrackingRefBased/>
  <w15:docId w15:val="{BEF4F092-4640-444E-8BA7-9795B86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F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449C"/>
    <w:pPr>
      <w:keepNext/>
      <w:keepLines/>
      <w:spacing w:before="320" w:after="80" w:line="240" w:lineRule="auto"/>
      <w:ind w:left="-720"/>
      <w:jc w:val="center"/>
      <w:outlineLvl w:val="0"/>
    </w:pPr>
    <w:rPr>
      <w:rFonts w:ascii="Open Sans" w:eastAsiaTheme="majorEastAsia" w:hAnsi="Open Sans" w:cstheme="majorBidi"/>
      <w:color w:val="1AA1B7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7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7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7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7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F85F56"/>
    <w:pPr>
      <w:widowControl w:val="0"/>
      <w:autoSpaceDE w:val="0"/>
      <w:autoSpaceDN w:val="0"/>
      <w:spacing w:before="120" w:after="120" w:line="240" w:lineRule="auto"/>
    </w:pPr>
    <w:rPr>
      <w:rFonts w:ascii="Open Sans" w:eastAsia="Open Sans" w:hAnsi="Open Sans" w:cstheme="minorHAnsi"/>
      <w:b/>
      <w:bCs/>
      <w: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5F56"/>
    <w:pPr>
      <w:widowControl w:val="0"/>
      <w:autoSpaceDE w:val="0"/>
      <w:autoSpaceDN w:val="0"/>
      <w:spacing w:after="0" w:line="240" w:lineRule="auto"/>
      <w:ind w:left="440"/>
    </w:pPr>
    <w:rPr>
      <w:rFonts w:ascii="Open Sans" w:eastAsia="Open Sans" w:hAnsi="Open Sans" w:cstheme="minorHAnsi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449C"/>
    <w:rPr>
      <w:rFonts w:ascii="Open Sans" w:eastAsiaTheme="majorEastAsia" w:hAnsi="Open Sans" w:cstheme="majorBidi"/>
      <w:color w:val="1AA1B7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7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7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7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7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7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7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7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7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7FC"/>
    <w:pPr>
      <w:spacing w:line="240" w:lineRule="auto"/>
    </w:pPr>
    <w:rPr>
      <w:b/>
      <w:bCs/>
      <w:color w:val="757575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7FC"/>
    <w:pPr>
      <w:pBdr>
        <w:top w:val="single" w:sz="6" w:space="8" w:color="474747" w:themeColor="accent3"/>
        <w:bottom w:val="single" w:sz="6" w:space="8" w:color="47474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A0C4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67FC"/>
    <w:rPr>
      <w:rFonts w:asciiTheme="majorHAnsi" w:eastAsiaTheme="majorEastAsia" w:hAnsiTheme="majorHAnsi" w:cstheme="majorBidi"/>
      <w:caps/>
      <w:color w:val="0A0C4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7FC"/>
    <w:pPr>
      <w:numPr>
        <w:ilvl w:val="1"/>
      </w:numPr>
      <w:jc w:val="center"/>
    </w:pPr>
    <w:rPr>
      <w:color w:val="0A0C4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7FC"/>
    <w:rPr>
      <w:color w:val="0A0C4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67FC"/>
    <w:rPr>
      <w:b/>
      <w:bCs/>
    </w:rPr>
  </w:style>
  <w:style w:type="character" w:styleId="Emphasis">
    <w:name w:val="Emphasis"/>
    <w:basedOn w:val="DefaultParagraphFont"/>
    <w:uiPriority w:val="20"/>
    <w:qFormat/>
    <w:rsid w:val="008067FC"/>
    <w:rPr>
      <w:i/>
      <w:iCs/>
      <w:color w:val="474747" w:themeColor="text1"/>
    </w:rPr>
  </w:style>
  <w:style w:type="paragraph" w:styleId="NoSpacing">
    <w:name w:val="No Spacing"/>
    <w:uiPriority w:val="1"/>
    <w:qFormat/>
    <w:rsid w:val="008067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67FC"/>
    <w:pPr>
      <w:spacing w:before="160"/>
      <w:ind w:left="720" w:right="720"/>
      <w:jc w:val="center"/>
    </w:pPr>
    <w:rPr>
      <w:i/>
      <w:iCs/>
      <w:color w:val="35353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67FC"/>
    <w:rPr>
      <w:i/>
      <w:iCs/>
      <w:color w:val="35353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7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3788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7FC"/>
    <w:rPr>
      <w:rFonts w:asciiTheme="majorHAnsi" w:eastAsiaTheme="majorEastAsia" w:hAnsiTheme="majorHAnsi" w:cstheme="majorBidi"/>
      <w:caps/>
      <w:color w:val="13788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67FC"/>
    <w:rPr>
      <w:i/>
      <w:iCs/>
      <w:color w:val="878787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67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67FC"/>
    <w:rPr>
      <w:caps w:val="0"/>
      <w:smallCaps/>
      <w:color w:val="757575" w:themeColor="text1" w:themeTint="BF"/>
      <w:spacing w:val="0"/>
      <w:u w:val="single" w:color="A2A2A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67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67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067FC"/>
    <w:pPr>
      <w:outlineLvl w:val="9"/>
    </w:pPr>
  </w:style>
  <w:style w:type="paragraph" w:customStyle="1" w:styleId="BodyTextAltq">
    <w:name w:val="Body Text (Alt+q)"/>
    <w:link w:val="BodyTextAltqChar"/>
    <w:qFormat/>
    <w:rsid w:val="000B4EDD"/>
    <w:pPr>
      <w:spacing w:before="12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AltqChar">
    <w:name w:val="Body Text (Alt+q) Char"/>
    <w:basedOn w:val="DefaultParagraphFont"/>
    <w:link w:val="BodyTextAltq"/>
    <w:rsid w:val="000B4EDD"/>
    <w:rPr>
      <w:rFonts w:ascii="Arial" w:eastAsiaTheme="minorHAnsi" w:hAnsi="Arial"/>
      <w:sz w:val="22"/>
      <w:szCs w:val="22"/>
    </w:rPr>
  </w:style>
  <w:style w:type="paragraph" w:customStyle="1" w:styleId="FigureAltg">
    <w:name w:val="Figure (Alt+g)"/>
    <w:basedOn w:val="BodyTextAltq"/>
    <w:next w:val="Normal"/>
    <w:rsid w:val="000B4EDD"/>
    <w:pPr>
      <w:keepNext/>
      <w:jc w:val="center"/>
    </w:pPr>
  </w:style>
  <w:style w:type="paragraph" w:styleId="Header">
    <w:name w:val="header"/>
    <w:basedOn w:val="Normal"/>
    <w:link w:val="HeaderChar"/>
    <w:uiPriority w:val="99"/>
    <w:unhideWhenUsed/>
    <w:rsid w:val="007E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A6"/>
  </w:style>
  <w:style w:type="paragraph" w:styleId="Footer">
    <w:name w:val="footer"/>
    <w:basedOn w:val="Normal"/>
    <w:link w:val="FooterChar"/>
    <w:uiPriority w:val="99"/>
    <w:unhideWhenUsed/>
    <w:rsid w:val="007E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A6"/>
  </w:style>
  <w:style w:type="paragraph" w:styleId="ListParagraph">
    <w:name w:val="List Paragraph"/>
    <w:basedOn w:val="Normal"/>
    <w:uiPriority w:val="34"/>
    <w:qFormat/>
    <w:rsid w:val="008348D2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48D2"/>
    <w:rPr>
      <w:color w:val="23A59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8D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8D2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8348D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D0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D0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13D0"/>
    <w:rPr>
      <w:color w:val="490F52" w:themeColor="followedHyperlink"/>
      <w:u w:val="single"/>
    </w:rPr>
  </w:style>
  <w:style w:type="paragraph" w:customStyle="1" w:styleId="pf0">
    <w:name w:val="pf0"/>
    <w:basedOn w:val="Normal"/>
    <w:rsid w:val="00A5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559D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559D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A559D0"/>
    <w:rPr>
      <w:rFonts w:ascii="Segoe UI" w:hAnsi="Segoe UI" w:cs="Segoe UI" w:hint="default"/>
      <w:b/>
      <w:bCs/>
      <w:i/>
      <w:iCs/>
      <w:color w:val="490F52"/>
      <w:sz w:val="18"/>
      <w:szCs w:val="18"/>
    </w:rPr>
  </w:style>
  <w:style w:type="character" w:customStyle="1" w:styleId="cf31">
    <w:name w:val="cf31"/>
    <w:basedOn w:val="DefaultParagraphFont"/>
    <w:rsid w:val="00A559D0"/>
    <w:rPr>
      <w:rFonts w:ascii="Segoe UI" w:hAnsi="Segoe UI" w:cs="Segoe UI" w:hint="default"/>
      <w:color w:val="490F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alth.utah.gov/stplan/lookup/CoverageLookup.php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HHS Theme Colors">
      <a:dk1>
        <a:srgbClr val="474747"/>
      </a:dk1>
      <a:lt1>
        <a:srgbClr val="FFC112"/>
      </a:lt1>
      <a:dk2>
        <a:srgbClr val="0A0C4A"/>
      </a:dk2>
      <a:lt2>
        <a:srgbClr val="1AA1B7"/>
      </a:lt2>
      <a:accent1>
        <a:srgbClr val="1AA1B7"/>
      </a:accent1>
      <a:accent2>
        <a:srgbClr val="FFC112"/>
      </a:accent2>
      <a:accent3>
        <a:srgbClr val="474747"/>
      </a:accent3>
      <a:accent4>
        <a:srgbClr val="490F52"/>
      </a:accent4>
      <a:accent5>
        <a:srgbClr val="0A0C4A"/>
      </a:accent5>
      <a:accent6>
        <a:srgbClr val="1AA1B7"/>
      </a:accent6>
      <a:hlink>
        <a:srgbClr val="23A595"/>
      </a:hlink>
      <a:folHlink>
        <a:srgbClr val="490F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1dc094-da58-4fb6-af70-4b9a53846ffe">DOHDMFH-32-460</_dlc_DocId>
    <_dlc_DocIdUrl xmlns="dd1dc094-da58-4fb6-af70-4b9a53846ffe">
      <Url>https://sp.health.utah.gov/sites/DMHF/bureaus/crp/_layouts/15/DocIdRedir.aspx?ID=DOHDMFH-32-460</Url>
      <Description>DOHDMFH-32-460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B99B1630BA64CAC9C7DA537F97159" ma:contentTypeVersion="2" ma:contentTypeDescription="Create a new document." ma:contentTypeScope="" ma:versionID="c909b1331df2f9124cb3afa8b9f53315">
  <xsd:schema xmlns:xsd="http://www.w3.org/2001/XMLSchema" xmlns:xs="http://www.w3.org/2001/XMLSchema" xmlns:p="http://schemas.microsoft.com/office/2006/metadata/properties" xmlns:ns2="dd1dc094-da58-4fb6-af70-4b9a53846ffe" targetNamespace="http://schemas.microsoft.com/office/2006/metadata/properties" ma:root="true" ma:fieldsID="1f68a2423c0dbb50100eb6f5395ccadd" ns2:_="">
    <xsd:import namespace="dd1dc094-da58-4fb6-af70-4b9a53846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c094-da58-4fb6-af70-4b9a53846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F70-AA40-4FA1-8F0F-311CCE8DB40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d1dc094-da58-4fb6-af70-4b9a53846f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90ADFE-AC74-4231-977B-D792A68D7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901BF-0AF8-41C0-B534-9736D81DE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624969-B5C5-4BA8-9BAD-452AA095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c094-da58-4fb6-af70-4b9a53846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DC3AE4-9563-45B1-8B09-5FA903F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Convey</dc:creator>
  <cp:keywords/>
  <dc:description/>
  <cp:lastModifiedBy>James Stamos</cp:lastModifiedBy>
  <cp:revision>2</cp:revision>
  <cp:lastPrinted>2022-11-07T20:36:00Z</cp:lastPrinted>
  <dcterms:created xsi:type="dcterms:W3CDTF">2023-04-07T20:37:00Z</dcterms:created>
  <dcterms:modified xsi:type="dcterms:W3CDTF">2023-04-07T20:37:00Z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0x010100496B99B1630BA64CAC9C7DA537F97159</vt:lpwstr>
  </property>
  <property fmtid="{D5CDD505-2E9C-101B-9397-08002B2CF9AE}" pid="3" name="_dlc_DocIdItemGuid">
    <vt:lpwstr>9e527ee7-a700-427d-a76b-fb52d7b447e4</vt:lpwstr>
  </property>
</Properties>
</file>